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9DBB7" w14:textId="77777777" w:rsidR="002A384D" w:rsidRPr="00473566" w:rsidRDefault="00425A50" w:rsidP="003C030F">
      <w:pPr>
        <w:pStyle w:val="Bezproreda"/>
        <w:spacing w:line="0" w:lineRule="atLeast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OBAVIJEST O PLAĆANJU KOMUNALNE PRISTOJBE NA ISTAKNUTU TVRTKU</w:t>
      </w:r>
    </w:p>
    <w:p w14:paraId="13FEC1EB" w14:textId="77777777" w:rsidR="002A384D" w:rsidRPr="00473566" w:rsidRDefault="002A384D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F61FDF5" w14:textId="77777777" w:rsidR="002A384D" w:rsidRPr="00473566" w:rsidRDefault="00082563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</w:rPr>
        <w:t>Odlukom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o komunalnim pristojbama na istaknutu tvrtku, reklamu i drugim pristojbama na području Grada Livna</w:t>
      </w:r>
      <w:r w:rsidRPr="00473566">
        <w:rPr>
          <w:rFonts w:ascii="Times New Roman" w:hAnsi="Times New Roman"/>
          <w:b/>
          <w:sz w:val="24"/>
          <w:szCs w:val="24"/>
          <w:lang w:val="hr-BA"/>
        </w:rPr>
        <w:t xml:space="preserve"> </w:t>
      </w:r>
      <w:r w:rsidRPr="00473566">
        <w:rPr>
          <w:rFonts w:ascii="Times New Roman" w:hAnsi="Times New Roman"/>
          <w:sz w:val="24"/>
          <w:szCs w:val="24"/>
        </w:rPr>
        <w:t>(„Službeni glasnik Grada Livna“ broj: 8/23 i 8/24)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2A384D" w:rsidRPr="00473566">
        <w:rPr>
          <w:rFonts w:ascii="Times New Roman" w:hAnsi="Times New Roman"/>
          <w:sz w:val="24"/>
          <w:szCs w:val="24"/>
          <w:lang w:val="hr-BA"/>
        </w:rPr>
        <w:t>utvrđuju se vrste komunalnih pristojbi, obveznik plaćanja, kriteriji, zone i visina pristojbi, način plaćanja, oslobađanja od plaćanja, način prijave, naplate  i povrat pristojbe za obveznike na području Grada Livna.</w:t>
      </w:r>
    </w:p>
    <w:p w14:paraId="41A6CBA3" w14:textId="77777777" w:rsidR="003E4546" w:rsidRPr="00473566" w:rsidRDefault="003E4546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C4FFE97" w14:textId="77777777" w:rsidR="003E4546" w:rsidRPr="00473566" w:rsidRDefault="003E4546" w:rsidP="003E4546">
      <w:pPr>
        <w:pStyle w:val="Bezproreda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OBVEZNICI PLAĆANJA PRISTOJBE</w:t>
      </w:r>
    </w:p>
    <w:p w14:paraId="53E6C9E9" w14:textId="77777777" w:rsidR="003E4546" w:rsidRPr="00473566" w:rsidRDefault="003E4546" w:rsidP="003E454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7DCCE94" w14:textId="77777777" w:rsidR="003E4546" w:rsidRPr="00473566" w:rsidRDefault="003E4546" w:rsidP="003E454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Obveznici plaćanja pristojbe su sve pravne i fizičke osobe koje obavljaju djelatnost na temelju odobrenja/rješenja nadležnog tijela i posluju na području Grada Livna, odnosno osobe koje su korisnici prava, predmeta i usluga za čije korištenje je propisano plaćanje pristojbe. </w:t>
      </w:r>
    </w:p>
    <w:p w14:paraId="2A09A6B2" w14:textId="77777777" w:rsidR="00473566" w:rsidRPr="00473566" w:rsidRDefault="00473566" w:rsidP="003E454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74A3011" w14:textId="77777777" w:rsidR="00473566" w:rsidRPr="00473566" w:rsidRDefault="00473566" w:rsidP="00473566">
      <w:pPr>
        <w:pStyle w:val="Bezproreda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POČETAK NASTANKA OBVEZE</w:t>
      </w:r>
    </w:p>
    <w:p w14:paraId="1422C323" w14:textId="77777777" w:rsidR="00473566" w:rsidRPr="00473566" w:rsidRDefault="00473566" w:rsidP="0047356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4A4C9B8" w14:textId="77777777" w:rsidR="00473566" w:rsidRPr="00473566" w:rsidRDefault="00473566" w:rsidP="0047356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Obveza plaćanja pristojbe za svaku istaknutu tvrtku nastaje danom početka obavljanja djelatnosti koje je definirano odobrenjem za rad odnosno danom izdavanja rješenja o registraciji poreznog obveznika. </w:t>
      </w:r>
    </w:p>
    <w:p w14:paraId="3D9DE1CA" w14:textId="77777777" w:rsidR="002A384D" w:rsidRPr="00473566" w:rsidRDefault="002A384D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CEBDD92" w14:textId="77777777" w:rsidR="00F40FCB" w:rsidRPr="00473566" w:rsidRDefault="002A384D" w:rsidP="003C030F">
      <w:pPr>
        <w:pStyle w:val="Bezproreda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POSLOVNE ZONE</w:t>
      </w:r>
    </w:p>
    <w:p w14:paraId="2FA013B0" w14:textId="77777777" w:rsidR="002A384D" w:rsidRPr="00473566" w:rsidRDefault="002A384D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B202546" w14:textId="77777777" w:rsidR="003A100D" w:rsidRPr="00473566" w:rsidRDefault="004E0E54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>Područje Grada Livna, u smislu Odluke</w:t>
      </w:r>
      <w:r w:rsidR="00F057F2" w:rsidRPr="00473566">
        <w:rPr>
          <w:rFonts w:ascii="Times New Roman" w:hAnsi="Times New Roman"/>
          <w:sz w:val="24"/>
          <w:szCs w:val="24"/>
          <w:lang w:val="hr-BA"/>
        </w:rPr>
        <w:t xml:space="preserve"> o komunalnim pristojbama</w:t>
      </w:r>
      <w:r w:rsidR="00FA5493" w:rsidRPr="00473566">
        <w:rPr>
          <w:rFonts w:ascii="Times New Roman" w:hAnsi="Times New Roman"/>
          <w:sz w:val="24"/>
          <w:szCs w:val="24"/>
          <w:lang w:val="hr-BA"/>
        </w:rPr>
        <w:t>,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dijeli se na tri poslovne</w:t>
      </w:r>
      <w:r w:rsidR="00F40FCB" w:rsidRPr="00473566">
        <w:rPr>
          <w:rFonts w:ascii="Times New Roman" w:hAnsi="Times New Roman"/>
          <w:sz w:val="24"/>
          <w:szCs w:val="24"/>
          <w:lang w:val="hr-BA"/>
        </w:rPr>
        <w:t xml:space="preserve"> zone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kao početni kriterij za određivanje visine komunalne pristojbe</w:t>
      </w:r>
      <w:r w:rsidR="00910750" w:rsidRPr="00473566">
        <w:rPr>
          <w:rFonts w:ascii="Times New Roman" w:hAnsi="Times New Roman"/>
          <w:sz w:val="24"/>
          <w:szCs w:val="24"/>
          <w:lang w:val="hr-BA"/>
        </w:rPr>
        <w:t xml:space="preserve"> za istaknutu tvrtku</w:t>
      </w:r>
      <w:r w:rsidR="003A100D" w:rsidRPr="00473566">
        <w:rPr>
          <w:rFonts w:ascii="Times New Roman" w:hAnsi="Times New Roman"/>
          <w:sz w:val="24"/>
          <w:szCs w:val="24"/>
          <w:lang w:val="hr-BA"/>
        </w:rPr>
        <w:t xml:space="preserve"> i to:</w:t>
      </w:r>
    </w:p>
    <w:p w14:paraId="0B42BC35" w14:textId="77777777" w:rsidR="002A384D" w:rsidRPr="00473566" w:rsidRDefault="002A384D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1A3B0590" w14:textId="77777777" w:rsidR="002A384D" w:rsidRPr="00473566" w:rsidRDefault="002A384D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a) I zona,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473566">
        <w:rPr>
          <w:rFonts w:ascii="Times New Roman" w:hAnsi="Times New Roman"/>
          <w:b/>
          <w:sz w:val="24"/>
          <w:szCs w:val="24"/>
          <w:lang w:val="hr-BA"/>
        </w:rPr>
        <w:t>koja obuhvaća ulice</w:t>
      </w:r>
      <w:r w:rsidRPr="00473566">
        <w:rPr>
          <w:rFonts w:ascii="Times New Roman" w:hAnsi="Times New Roman"/>
          <w:sz w:val="24"/>
          <w:szCs w:val="24"/>
          <w:lang w:val="hr-BA"/>
        </w:rPr>
        <w:t>:</w:t>
      </w:r>
      <w:r w:rsidRPr="00473566">
        <w:rPr>
          <w:rFonts w:ascii="Times New Roman" w:hAnsi="Times New Roman"/>
          <w:sz w:val="24"/>
          <w:szCs w:val="24"/>
          <w:lang w:val="hr-BA" w:eastAsia="en-US"/>
        </w:rPr>
        <w:t xml:space="preserve"> </w:t>
      </w:r>
      <w:r w:rsidRPr="00473566">
        <w:rPr>
          <w:rFonts w:ascii="Times New Roman" w:hAnsi="Times New Roman"/>
          <w:sz w:val="24"/>
          <w:szCs w:val="24"/>
          <w:lang w:val="hr-BA"/>
        </w:rPr>
        <w:t>Trg branitelja Livna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Trg kralja Tomislava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Trg Domovinskog rata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Avenija dr. Franje Tuđmana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Gabrijela </w:t>
      </w:r>
      <w:proofErr w:type="spellStart"/>
      <w:r w:rsidRPr="00473566">
        <w:rPr>
          <w:rFonts w:ascii="Times New Roman" w:hAnsi="Times New Roman"/>
          <w:sz w:val="24"/>
          <w:szCs w:val="24"/>
          <w:lang w:val="hr-BA"/>
        </w:rPr>
        <w:t>Jurkića</w:t>
      </w:r>
      <w:proofErr w:type="spellEnd"/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Gorička cesta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Kneza Mutimira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Kraljice Katarine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Župana Želimira</w:t>
      </w:r>
      <w:r w:rsidRPr="00473566">
        <w:rPr>
          <w:rFonts w:ascii="Times New Roman" w:hAnsi="Times New Roman"/>
          <w:sz w:val="24"/>
          <w:szCs w:val="24"/>
        </w:rPr>
        <w:t xml:space="preserve">, </w:t>
      </w:r>
      <w:r w:rsidRPr="00473566">
        <w:rPr>
          <w:rFonts w:ascii="Times New Roman" w:hAnsi="Times New Roman"/>
          <w:sz w:val="24"/>
          <w:szCs w:val="24"/>
          <w:lang w:val="hr-BA"/>
        </w:rPr>
        <w:t>Splitska,</w:t>
      </w:r>
      <w:r w:rsidRPr="00473566">
        <w:rPr>
          <w:rFonts w:ascii="Times New Roman" w:hAnsi="Times New Roman"/>
          <w:sz w:val="24"/>
          <w:szCs w:val="24"/>
        </w:rPr>
        <w:t xml:space="preserve"> </w:t>
      </w:r>
      <w:r w:rsidRPr="00473566">
        <w:rPr>
          <w:rFonts w:ascii="Times New Roman" w:hAnsi="Times New Roman"/>
          <w:sz w:val="24"/>
          <w:szCs w:val="24"/>
          <w:lang w:val="hr-BA"/>
        </w:rPr>
        <w:t>Zagrebačka</w:t>
      </w:r>
      <w:r w:rsidRPr="00473566">
        <w:rPr>
          <w:rFonts w:ascii="Times New Roman" w:hAnsi="Times New Roman"/>
          <w:sz w:val="24"/>
          <w:szCs w:val="24"/>
        </w:rPr>
        <w:t xml:space="preserve"> i 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Silvija Strahimira Kranjčevića. </w:t>
      </w:r>
    </w:p>
    <w:p w14:paraId="655123A7" w14:textId="77777777" w:rsidR="002A384D" w:rsidRPr="00473566" w:rsidRDefault="002A384D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4D19C4D" w14:textId="77777777" w:rsidR="002A384D" w:rsidRPr="00473566" w:rsidRDefault="002A384D" w:rsidP="003C030F">
      <w:pPr>
        <w:pStyle w:val="Bezproreda"/>
        <w:spacing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b) II zona,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473566">
        <w:rPr>
          <w:rFonts w:ascii="Times New Roman" w:hAnsi="Times New Roman"/>
          <w:b/>
          <w:sz w:val="24"/>
          <w:szCs w:val="24"/>
          <w:lang w:val="hr-BA"/>
        </w:rPr>
        <w:t>koja obuhvaća ulice i naselja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: Trg </w:t>
      </w:r>
      <w:proofErr w:type="spellStart"/>
      <w:r w:rsidRPr="00473566">
        <w:rPr>
          <w:rFonts w:ascii="Times New Roman" w:hAnsi="Times New Roman"/>
          <w:sz w:val="24"/>
          <w:szCs w:val="24"/>
          <w:lang w:val="hr-BA"/>
        </w:rPr>
        <w:t>Žitarnica</w:t>
      </w:r>
      <w:proofErr w:type="spellEnd"/>
      <w:r w:rsidRPr="00473566">
        <w:rPr>
          <w:rFonts w:ascii="Times New Roman" w:hAnsi="Times New Roman"/>
          <w:sz w:val="24"/>
          <w:szCs w:val="24"/>
          <w:lang w:val="hr-BA"/>
        </w:rPr>
        <w:t xml:space="preserve">, </w:t>
      </w:r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28. Rujna, Andrije Kačića Miošića, Ante Starčevića, Bistričko šetalište, Blajburških žrtava, Brigade Petra Krešimira IV,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Brinjanska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Bugojanska,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Bužanska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Cementara, Cincarska, Dalmatinska,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Dinarina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Dive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Grabovčeve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Dobriše Cesarića, Domobranska,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Donjožabljačka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 Dr. fra Bone Mate Vrdoljaka, Dubrovačka, Duvanjska cesta, Đačka,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Fera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Firdusova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Fra Anđela Kaića, Fra Eugena Matića, Gimnazijska,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Gornjožabljačka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Hadži Ahmeta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Dukatara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Hadži Jusufa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Livnjaka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Hrvatskog pletera, Hrvatskog vijeća obrane, Hrvoja Vukčića Hrvatinića, Ilirska, Ivana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Čelana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Ivana Gundulića, Ivana Merza, Ivana Meštrovića, Ive Šeremeta, Josipa Filipovića, Jurja Dalmatinca,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Kalajdžinica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Kamešnička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Kardinala Stepinca, Katarine Zrinski,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Klečića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Kneza Branimira, Kneza Trpimira, Kneza Višeslava, Kralja Stjepana Tomaševića, Kralja Tvrtka, Kralja Zvonimira, Kulina bana,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Kupreška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Lucinovac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Ljudevita Gaja, Maka Dizdara, Marka Marulića, Matice hrvatske,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Mejtefska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Milošnik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Mladena Šubića II, Muharema Borića, Nikole Šopa, Nikole Tesle, Obrtnička,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Orlovačka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Petra Krešimira IV, Poginulih branitelja HVO-a,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Preslička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Prikorika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Put Ploča, Put Stupa,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Rajčevac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Rapovinska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Rasadnik, Rudarska, Ruđera Boškovića, Savezne Republike Njemačke, Sestara Milosrdnica, Sinjska, Sirarska, Slavka Gotovca,  Srebrenička, Stara čaršija, Stipe Markovića, Stjepana II. Kotromanića, Stjepana Radića, Sučića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hrasti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Svetog Ive, Šibenska, Štefe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Jurkić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Šujička, Tepet, Trgovačka,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Tribanjska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Troglavska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Turbaša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Tušnička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Vezela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Vjekoslava Klaića, Vladimira Preloga, Vlade Marjanovića, Vrljika, Vukovarska, 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Zastinjska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Zavra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Zgona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,  Zrinsko-Frankopanska, Žabljačka i naselja: </w:t>
      </w:r>
      <w:proofErr w:type="spellStart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>Zastinje</w:t>
      </w:r>
      <w:proofErr w:type="spellEnd"/>
      <w:r w:rsidRPr="00473566">
        <w:rPr>
          <w:rFonts w:ascii="Times New Roman" w:hAnsi="Times New Roman"/>
          <w:color w:val="000000"/>
          <w:sz w:val="24"/>
          <w:szCs w:val="24"/>
          <w:lang w:val="hr-BA"/>
        </w:rPr>
        <w:t xml:space="preserve"> i Žabljak.</w:t>
      </w:r>
    </w:p>
    <w:p w14:paraId="28661FA0" w14:textId="77777777" w:rsidR="00C5287B" w:rsidRPr="00473566" w:rsidRDefault="00C5287B" w:rsidP="003C030F">
      <w:pPr>
        <w:pStyle w:val="Bezproreda"/>
        <w:spacing w:line="0" w:lineRule="atLeast"/>
        <w:jc w:val="both"/>
        <w:rPr>
          <w:rFonts w:ascii="Times New Roman" w:hAnsi="Times New Roman"/>
          <w:color w:val="000000"/>
          <w:sz w:val="24"/>
          <w:szCs w:val="24"/>
          <w:lang w:val="hr-BA"/>
        </w:rPr>
      </w:pPr>
    </w:p>
    <w:p w14:paraId="70D7F518" w14:textId="77777777" w:rsidR="003A100D" w:rsidRPr="00473566" w:rsidRDefault="004E0E54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lastRenderedPageBreak/>
        <w:t>c) III zona</w:t>
      </w:r>
      <w:r w:rsidR="00920590" w:rsidRPr="00473566">
        <w:rPr>
          <w:rFonts w:ascii="Times New Roman" w:hAnsi="Times New Roman"/>
          <w:b/>
          <w:sz w:val="24"/>
          <w:szCs w:val="24"/>
          <w:lang w:val="hr-BA"/>
        </w:rPr>
        <w:t>,</w:t>
      </w:r>
      <w:r w:rsidR="00BE74C9" w:rsidRPr="00473566">
        <w:rPr>
          <w:rFonts w:ascii="Times New Roman" w:hAnsi="Times New Roman"/>
          <w:b/>
          <w:sz w:val="24"/>
          <w:szCs w:val="24"/>
          <w:lang w:val="hr-BA"/>
        </w:rPr>
        <w:t xml:space="preserve"> koja obuhvaća naselja i naseljena mjesta</w:t>
      </w:r>
      <w:r w:rsidR="00BE74C9" w:rsidRPr="00473566">
        <w:rPr>
          <w:rFonts w:ascii="Times New Roman" w:hAnsi="Times New Roman"/>
          <w:sz w:val="24"/>
          <w:szCs w:val="24"/>
          <w:lang w:val="hr-BA"/>
        </w:rPr>
        <w:t>:</w:t>
      </w:r>
      <w:r w:rsidR="001E5086" w:rsidRPr="00473566">
        <w:rPr>
          <w:rFonts w:ascii="Times New Roman" w:hAnsi="Times New Roman"/>
          <w:sz w:val="24"/>
          <w:szCs w:val="24"/>
          <w:lang w:val="hr-BA"/>
        </w:rPr>
        <w:t xml:space="preserve"> Bila, Bilo Polje, Bogdaše, Bojmunte,  Ćaić, Čaprazlije, Čelebić, Ćosanlije, Čuklić, Dobro (Dobro i Begovača), Donji Rujani, Drinova Međa, Držanlije (Donje Držanlije, Golubić, Karijani i Gornje Držanlije), Golinjevo, Gornji Rujani, Grborezi,  Grgurići (Grgurići i Megdan)</w:t>
      </w:r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, </w:t>
      </w:r>
      <w:r w:rsidR="001E5086" w:rsidRPr="00473566">
        <w:rPr>
          <w:rFonts w:ascii="Times New Roman" w:hAnsi="Times New Roman"/>
          <w:sz w:val="24"/>
          <w:szCs w:val="24"/>
          <w:lang w:val="hr-BA"/>
        </w:rPr>
        <w:t xml:space="preserve">Gubin, Komorani, Kovačić, Lipa, Lištani, Lopatice, Lusnić, Ljubunčić, Mali Guber, Mali Kablići, Miši, Odžak, Orguz, Podgradina, Podgreda, Podhum, </w:t>
      </w:r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Potkraj (Potkraj i Tušnica), </w:t>
      </w:r>
      <w:r w:rsidR="001E5086" w:rsidRPr="00473566">
        <w:rPr>
          <w:rFonts w:ascii="Times New Roman" w:hAnsi="Times New Roman"/>
          <w:sz w:val="24"/>
          <w:szCs w:val="24"/>
          <w:lang w:val="hr-BA"/>
        </w:rPr>
        <w:t xml:space="preserve">Potočani, Potok, Priluka, Prisap, Prolog, Provo, Radanovci, Rapovine, Sajković, </w:t>
      </w:r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Smričani (Smričani, Glavice, Gluvuše i Lopatinac), </w:t>
      </w:r>
      <w:r w:rsidR="001E5086" w:rsidRPr="00473566">
        <w:rPr>
          <w:rFonts w:ascii="Times New Roman" w:hAnsi="Times New Roman"/>
          <w:sz w:val="24"/>
          <w:szCs w:val="24"/>
          <w:lang w:val="hr-BA"/>
        </w:rPr>
        <w:t xml:space="preserve">Srđevići, Strupnić, Suhača, </w:t>
      </w:r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Tribić, </w:t>
      </w:r>
      <w:r w:rsidR="001E5086" w:rsidRPr="00473566">
        <w:rPr>
          <w:rFonts w:ascii="Times New Roman" w:hAnsi="Times New Roman"/>
          <w:sz w:val="24"/>
          <w:szCs w:val="24"/>
          <w:lang w:val="hr-BA"/>
        </w:rPr>
        <w:t xml:space="preserve">Veliki Guber, Veliki Kablići, </w:t>
      </w:r>
      <w:proofErr w:type="spellStart"/>
      <w:r w:rsidR="00920590" w:rsidRPr="00473566">
        <w:rPr>
          <w:rFonts w:ascii="Times New Roman" w:hAnsi="Times New Roman"/>
          <w:sz w:val="24"/>
          <w:szCs w:val="24"/>
          <w:lang w:val="hr-BA"/>
        </w:rPr>
        <w:t>Vidoši</w:t>
      </w:r>
      <w:proofErr w:type="spellEnd"/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 (</w:t>
      </w:r>
      <w:proofErr w:type="spellStart"/>
      <w:r w:rsidR="00920590" w:rsidRPr="00473566">
        <w:rPr>
          <w:rFonts w:ascii="Times New Roman" w:hAnsi="Times New Roman"/>
          <w:sz w:val="24"/>
          <w:szCs w:val="24"/>
          <w:lang w:val="hr-BA"/>
        </w:rPr>
        <w:t>Vidoši</w:t>
      </w:r>
      <w:proofErr w:type="spellEnd"/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 i </w:t>
      </w:r>
      <w:proofErr w:type="spellStart"/>
      <w:r w:rsidR="00920590" w:rsidRPr="00473566">
        <w:rPr>
          <w:rFonts w:ascii="Times New Roman" w:hAnsi="Times New Roman"/>
          <w:sz w:val="24"/>
          <w:szCs w:val="24"/>
          <w:lang w:val="hr-BA"/>
        </w:rPr>
        <w:t>Sturba</w:t>
      </w:r>
      <w:proofErr w:type="spellEnd"/>
      <w:r w:rsidR="002E22DD" w:rsidRPr="00473566">
        <w:rPr>
          <w:rFonts w:ascii="Times New Roman" w:hAnsi="Times New Roman"/>
          <w:sz w:val="24"/>
          <w:szCs w:val="24"/>
          <w:lang w:val="hr-BA"/>
        </w:rPr>
        <w:t>,</w:t>
      </w:r>
      <w:r w:rsidR="00920590" w:rsidRPr="00473566">
        <w:rPr>
          <w:rFonts w:ascii="Times New Roman" w:hAnsi="Times New Roman"/>
          <w:sz w:val="24"/>
          <w:szCs w:val="24"/>
          <w:lang w:val="hr-BA"/>
        </w:rPr>
        <w:t>)</w:t>
      </w:r>
      <w:r w:rsidR="001E5086" w:rsidRPr="00473566">
        <w:rPr>
          <w:rFonts w:ascii="Times New Roman" w:hAnsi="Times New Roman"/>
          <w:sz w:val="24"/>
          <w:szCs w:val="24"/>
          <w:lang w:val="hr-BA"/>
        </w:rPr>
        <w:t xml:space="preserve"> Vrbica, </w:t>
      </w:r>
      <w:proofErr w:type="spellStart"/>
      <w:r w:rsidR="001E5086" w:rsidRPr="00473566">
        <w:rPr>
          <w:rFonts w:ascii="Times New Roman" w:hAnsi="Times New Roman"/>
          <w:sz w:val="24"/>
          <w:szCs w:val="24"/>
          <w:lang w:val="hr-BA"/>
        </w:rPr>
        <w:t>Vržerala</w:t>
      </w:r>
      <w:proofErr w:type="spellEnd"/>
      <w:r w:rsidR="001E5086" w:rsidRPr="00473566">
        <w:rPr>
          <w:rFonts w:ascii="Times New Roman" w:hAnsi="Times New Roman"/>
          <w:sz w:val="24"/>
          <w:szCs w:val="24"/>
          <w:lang w:val="hr-BA"/>
        </w:rPr>
        <w:t>, Zabrišće,</w:t>
      </w:r>
      <w:r w:rsidR="0066400B"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proofErr w:type="spellStart"/>
      <w:r w:rsidR="0066400B" w:rsidRPr="00473566">
        <w:rPr>
          <w:rFonts w:ascii="Times New Roman" w:hAnsi="Times New Roman"/>
          <w:sz w:val="24"/>
          <w:szCs w:val="24"/>
          <w:lang w:val="hr-BA"/>
        </w:rPr>
        <w:t>Zagoričani</w:t>
      </w:r>
      <w:proofErr w:type="spellEnd"/>
      <w:r w:rsidR="0066400B"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E5086" w:rsidRPr="00473566">
        <w:rPr>
          <w:rFonts w:ascii="Times New Roman" w:hAnsi="Times New Roman"/>
          <w:sz w:val="24"/>
          <w:szCs w:val="24"/>
          <w:lang w:val="hr-BA"/>
        </w:rPr>
        <w:t xml:space="preserve">i </w:t>
      </w:r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proofErr w:type="spellStart"/>
      <w:r w:rsidR="00920590" w:rsidRPr="00473566">
        <w:rPr>
          <w:rFonts w:ascii="Times New Roman" w:hAnsi="Times New Roman"/>
          <w:sz w:val="24"/>
          <w:szCs w:val="24"/>
          <w:lang w:val="hr-BA"/>
        </w:rPr>
        <w:t>Žirović</w:t>
      </w:r>
      <w:proofErr w:type="spellEnd"/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 (</w:t>
      </w:r>
      <w:proofErr w:type="spellStart"/>
      <w:r w:rsidR="00920590" w:rsidRPr="00473566">
        <w:rPr>
          <w:rFonts w:ascii="Times New Roman" w:hAnsi="Times New Roman"/>
          <w:sz w:val="24"/>
          <w:szCs w:val="24"/>
          <w:lang w:val="hr-BA"/>
        </w:rPr>
        <w:t>Žirović</w:t>
      </w:r>
      <w:proofErr w:type="spellEnd"/>
      <w:r w:rsidR="00920590" w:rsidRPr="00473566">
        <w:rPr>
          <w:rFonts w:ascii="Times New Roman" w:hAnsi="Times New Roman"/>
          <w:sz w:val="24"/>
          <w:szCs w:val="24"/>
          <w:lang w:val="hr-BA"/>
        </w:rPr>
        <w:t xml:space="preserve"> i Ploča)</w:t>
      </w:r>
      <w:r w:rsidR="00602F88" w:rsidRPr="00473566">
        <w:rPr>
          <w:rFonts w:ascii="Times New Roman" w:hAnsi="Times New Roman"/>
          <w:sz w:val="24"/>
          <w:szCs w:val="24"/>
          <w:lang w:val="hr-BA"/>
        </w:rPr>
        <w:t>.</w:t>
      </w:r>
    </w:p>
    <w:p w14:paraId="0B33CA85" w14:textId="77777777" w:rsidR="003C030F" w:rsidRPr="00473566" w:rsidRDefault="003C030F" w:rsidP="003C030F">
      <w:pPr>
        <w:pStyle w:val="Bezproreda"/>
        <w:spacing w:line="0" w:lineRule="atLeast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5CED0058" w14:textId="3DFF61D2" w:rsidR="00F40FCB" w:rsidRPr="00473566" w:rsidRDefault="00F40FCB" w:rsidP="003C030F">
      <w:pPr>
        <w:pStyle w:val="Bezproreda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VISINA KOMUNALNE PRISTOJBE</w:t>
      </w:r>
      <w:r w:rsidR="00332263">
        <w:rPr>
          <w:rFonts w:ascii="Times New Roman" w:hAnsi="Times New Roman"/>
          <w:b/>
          <w:sz w:val="24"/>
          <w:szCs w:val="24"/>
          <w:lang w:val="hr-BA"/>
        </w:rPr>
        <w:t xml:space="preserve"> PO TARIFNOM BROJU 1.</w:t>
      </w:r>
    </w:p>
    <w:p w14:paraId="102B863F" w14:textId="77777777" w:rsidR="00BE74C9" w:rsidRPr="00473566" w:rsidRDefault="00BE74C9" w:rsidP="003C030F">
      <w:pPr>
        <w:pStyle w:val="Bezproreda"/>
        <w:spacing w:line="0" w:lineRule="atLeast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4549577E" w14:textId="1351A7F6" w:rsidR="00473566" w:rsidRDefault="00332263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</w:t>
      </w:r>
      <w:r w:rsidR="00BE74C9" w:rsidRPr="00473566">
        <w:rPr>
          <w:rFonts w:ascii="Times New Roman" w:hAnsi="Times New Roman"/>
          <w:sz w:val="24"/>
          <w:szCs w:val="24"/>
          <w:lang w:val="hr-BA"/>
        </w:rPr>
        <w:t xml:space="preserve"> pravn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="00BE74C9" w:rsidRPr="00473566">
        <w:rPr>
          <w:rFonts w:ascii="Times New Roman" w:hAnsi="Times New Roman"/>
          <w:sz w:val="24"/>
          <w:szCs w:val="24"/>
          <w:lang w:val="hr-BA"/>
        </w:rPr>
        <w:t xml:space="preserve"> ili fizičk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="00BE74C9" w:rsidRPr="00473566">
        <w:rPr>
          <w:rFonts w:ascii="Times New Roman" w:hAnsi="Times New Roman"/>
          <w:sz w:val="24"/>
          <w:szCs w:val="24"/>
          <w:lang w:val="hr-BA"/>
        </w:rPr>
        <w:t xml:space="preserve"> osob</w:t>
      </w:r>
      <w:r>
        <w:rPr>
          <w:rFonts w:ascii="Times New Roman" w:hAnsi="Times New Roman"/>
          <w:sz w:val="24"/>
          <w:szCs w:val="24"/>
          <w:lang w:val="hr-BA"/>
        </w:rPr>
        <w:t>u (obveznika)</w:t>
      </w:r>
      <w:r w:rsidR="00F404EB"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 xml:space="preserve">koji </w:t>
      </w:r>
      <w:r w:rsidR="00F404EB" w:rsidRPr="00473566">
        <w:rPr>
          <w:rFonts w:ascii="Times New Roman" w:hAnsi="Times New Roman"/>
          <w:sz w:val="24"/>
          <w:szCs w:val="24"/>
          <w:lang w:val="hr-BA"/>
        </w:rPr>
        <w:t>obavlja izvjesnu djelatnost ili zani</w:t>
      </w:r>
      <w:r w:rsidR="0093322A" w:rsidRPr="00473566">
        <w:rPr>
          <w:rFonts w:ascii="Times New Roman" w:hAnsi="Times New Roman"/>
          <w:sz w:val="24"/>
          <w:szCs w:val="24"/>
          <w:lang w:val="hr-BA"/>
        </w:rPr>
        <w:t>manje na području G</w:t>
      </w:r>
      <w:r w:rsidR="00BE74C9" w:rsidRPr="00473566">
        <w:rPr>
          <w:rFonts w:ascii="Times New Roman" w:hAnsi="Times New Roman"/>
          <w:sz w:val="24"/>
          <w:szCs w:val="24"/>
          <w:lang w:val="hr-BA"/>
        </w:rPr>
        <w:t>rada Livna</w:t>
      </w:r>
      <w:r w:rsidR="00F404EB" w:rsidRPr="00473566">
        <w:rPr>
          <w:rFonts w:ascii="Times New Roman" w:hAnsi="Times New Roman"/>
          <w:sz w:val="24"/>
          <w:szCs w:val="24"/>
          <w:lang w:val="hr-BA"/>
        </w:rPr>
        <w:t>, utvrđuje se i</w:t>
      </w:r>
      <w:r w:rsidR="00BE74C9" w:rsidRPr="00473566">
        <w:rPr>
          <w:rFonts w:ascii="Times New Roman" w:hAnsi="Times New Roman"/>
          <w:sz w:val="24"/>
          <w:szCs w:val="24"/>
          <w:lang w:val="hr-BA"/>
        </w:rPr>
        <w:t xml:space="preserve"> plaća godišnja pristojba</w:t>
      </w:r>
      <w:r w:rsidR="00F404EB" w:rsidRPr="00473566">
        <w:rPr>
          <w:rFonts w:ascii="Times New Roman" w:hAnsi="Times New Roman"/>
          <w:sz w:val="24"/>
          <w:szCs w:val="24"/>
          <w:lang w:val="hr-BA"/>
        </w:rPr>
        <w:t xml:space="preserve"> u iznosima kako slijedi: </w:t>
      </w:r>
    </w:p>
    <w:p w14:paraId="288DADD4" w14:textId="77777777" w:rsidR="00473566" w:rsidRDefault="00473566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418"/>
        <w:gridCol w:w="1417"/>
      </w:tblGrid>
      <w:tr w:rsidR="00473566" w:rsidRPr="00473566" w14:paraId="6523CB83" w14:textId="77777777" w:rsidTr="007B3F07">
        <w:tc>
          <w:tcPr>
            <w:tcW w:w="5495" w:type="dxa"/>
            <w:vMerge w:val="restart"/>
            <w:shd w:val="clear" w:color="auto" w:fill="D9D9D9" w:themeFill="background1" w:themeFillShade="D9"/>
            <w:vAlign w:val="center"/>
          </w:tcPr>
          <w:p w14:paraId="3DABB5AE" w14:textId="794BAA8B" w:rsidR="00473566" w:rsidRPr="00473566" w:rsidRDefault="00473566" w:rsidP="00473566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hr-BA"/>
              </w:rPr>
            </w:pPr>
            <w:r w:rsidRPr="00473566">
              <w:rPr>
                <w:rFonts w:ascii="Times New Roman" w:hAnsi="Times New Roman"/>
                <w:i/>
                <w:sz w:val="24"/>
                <w:szCs w:val="24"/>
                <w:u w:val="single"/>
                <w:lang w:val="hr-BA"/>
              </w:rPr>
              <w:t>Obrtnici/samostalni poduzetnici</w:t>
            </w: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kojima je  odobreno plaćanje poreza na dohodak u paušalnom iznosu </w:t>
            </w:r>
            <w:r w:rsidRPr="00473566">
              <w:rPr>
                <w:rFonts w:ascii="Times New Roman" w:hAnsi="Times New Roman"/>
                <w:i/>
                <w:sz w:val="24"/>
                <w:szCs w:val="24"/>
                <w:u w:val="single"/>
                <w:lang w:val="hr-BA"/>
              </w:rPr>
              <w:t>(</w:t>
            </w:r>
            <w:proofErr w:type="spellStart"/>
            <w:r w:rsidRPr="00473566">
              <w:rPr>
                <w:rFonts w:ascii="Times New Roman" w:hAnsi="Times New Roman"/>
                <w:i/>
                <w:sz w:val="24"/>
                <w:szCs w:val="24"/>
                <w:u w:val="single"/>
                <w:lang w:val="hr-BA"/>
              </w:rPr>
              <w:t>paušalci</w:t>
            </w:r>
            <w:proofErr w:type="spellEnd"/>
            <w:r w:rsidRPr="00473566">
              <w:rPr>
                <w:rFonts w:ascii="Times New Roman" w:hAnsi="Times New Roman"/>
                <w:i/>
                <w:sz w:val="24"/>
                <w:szCs w:val="24"/>
                <w:u w:val="single"/>
                <w:lang w:val="hr-BA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F65A2CF" w14:textId="77777777" w:rsidR="00473566" w:rsidRPr="00473566" w:rsidRDefault="00473566" w:rsidP="007B3F0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 zona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23CDCA" w14:textId="77777777" w:rsidR="00473566" w:rsidRPr="00473566" w:rsidRDefault="00473566" w:rsidP="007B3F0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 zona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9AC27B" w14:textId="77777777" w:rsidR="00473566" w:rsidRPr="00473566" w:rsidRDefault="00473566" w:rsidP="007B3F0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III zona</w:t>
            </w:r>
          </w:p>
        </w:tc>
      </w:tr>
      <w:tr w:rsidR="00473566" w:rsidRPr="00473566" w14:paraId="75F5A733" w14:textId="77777777" w:rsidTr="007B3F07">
        <w:tc>
          <w:tcPr>
            <w:tcW w:w="5495" w:type="dxa"/>
            <w:vMerge/>
            <w:shd w:val="clear" w:color="auto" w:fill="D9D9D9" w:themeFill="background1" w:themeFillShade="D9"/>
            <w:vAlign w:val="center"/>
          </w:tcPr>
          <w:p w14:paraId="294350E9" w14:textId="77777777" w:rsidR="00473566" w:rsidRPr="00473566" w:rsidRDefault="00473566" w:rsidP="007B3F07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1683B8D6" w14:textId="77777777" w:rsidR="00473566" w:rsidRPr="00473566" w:rsidRDefault="00473566" w:rsidP="007B3F0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100,00 KM</w:t>
            </w:r>
          </w:p>
        </w:tc>
        <w:tc>
          <w:tcPr>
            <w:tcW w:w="1418" w:type="dxa"/>
            <w:vAlign w:val="center"/>
          </w:tcPr>
          <w:p w14:paraId="5656BA70" w14:textId="264A529B" w:rsidR="00473566" w:rsidRPr="00473566" w:rsidRDefault="00473566" w:rsidP="007B3F0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100</w:t>
            </w: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,00 KM</w:t>
            </w:r>
          </w:p>
        </w:tc>
        <w:tc>
          <w:tcPr>
            <w:tcW w:w="1417" w:type="dxa"/>
            <w:vAlign w:val="center"/>
          </w:tcPr>
          <w:p w14:paraId="583B4C94" w14:textId="1F71379D" w:rsidR="00473566" w:rsidRPr="00473566" w:rsidRDefault="00473566" w:rsidP="007B3F0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10</w:t>
            </w: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0,00 KM</w:t>
            </w:r>
          </w:p>
        </w:tc>
      </w:tr>
    </w:tbl>
    <w:p w14:paraId="6DE6788D" w14:textId="77777777" w:rsidR="00473566" w:rsidRDefault="00473566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7960F00B" w14:textId="77777777" w:rsidR="00473566" w:rsidRDefault="00473566" w:rsidP="0047356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Od  plaćanja komunalne pristojbe na istaknutu tvrtku, </w:t>
      </w:r>
      <w:r w:rsidRPr="000B3476">
        <w:rPr>
          <w:rFonts w:ascii="Times New Roman" w:hAnsi="Times New Roman"/>
          <w:b/>
          <w:bCs/>
          <w:sz w:val="24"/>
          <w:szCs w:val="24"/>
          <w:lang w:val="hr-BA"/>
        </w:rPr>
        <w:t>oslobođeni su: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1834973E" w14:textId="6435DA8E" w:rsidR="00473566" w:rsidRDefault="00473566" w:rsidP="00473566">
      <w:pPr>
        <w:pStyle w:val="Bezproreda"/>
        <w:numPr>
          <w:ilvl w:val="0"/>
          <w:numId w:val="32"/>
        </w:numPr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>obrtnici/samostalni poduzetnici kojima je</w:t>
      </w:r>
      <w:r w:rsidR="00071D93">
        <w:rPr>
          <w:rFonts w:ascii="Times New Roman" w:hAnsi="Times New Roman"/>
          <w:sz w:val="24"/>
          <w:szCs w:val="24"/>
          <w:lang w:val="hr-BA"/>
        </w:rPr>
        <w:t xml:space="preserve"> odobreno plaćanje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poreza na dohodak u paušalnom iznosu (</w:t>
      </w:r>
      <w:proofErr w:type="spellStart"/>
      <w:r w:rsidRPr="00473566">
        <w:rPr>
          <w:rFonts w:ascii="Times New Roman" w:hAnsi="Times New Roman"/>
          <w:sz w:val="24"/>
          <w:szCs w:val="24"/>
          <w:lang w:val="hr-BA"/>
        </w:rPr>
        <w:t>paušalci</w:t>
      </w:r>
      <w:proofErr w:type="spellEnd"/>
      <w:r w:rsidRPr="00473566">
        <w:rPr>
          <w:rFonts w:ascii="Times New Roman" w:hAnsi="Times New Roman"/>
          <w:sz w:val="24"/>
          <w:szCs w:val="24"/>
          <w:lang w:val="hr-BA"/>
        </w:rPr>
        <w:t xml:space="preserve">) a koji obavljaju djelatnost u oblasti poljoprivrede i stočarstva </w:t>
      </w:r>
    </w:p>
    <w:p w14:paraId="657BCF87" w14:textId="7E670BA1" w:rsidR="00473566" w:rsidRPr="00473566" w:rsidRDefault="00071D93" w:rsidP="00071D93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O</w:t>
      </w:r>
      <w:r w:rsidR="00473566" w:rsidRPr="00473566">
        <w:rPr>
          <w:rFonts w:ascii="Times New Roman" w:hAnsi="Times New Roman"/>
          <w:sz w:val="24"/>
          <w:szCs w:val="24"/>
          <w:lang w:val="hr-BA"/>
        </w:rPr>
        <w:t xml:space="preserve">bveznici pristojbe koji obavljaju djelatnosti tradicionalnih i starih zanata, obavezni su platiti, godišnje, pristojbu na istaknutu tvrtku umanjenu za 50% o propisanog iznosa. </w:t>
      </w:r>
    </w:p>
    <w:p w14:paraId="0B99B8AC" w14:textId="77777777" w:rsidR="00F404EB" w:rsidRPr="00473566" w:rsidRDefault="00F404EB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52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1"/>
        <w:gridCol w:w="1383"/>
        <w:gridCol w:w="1383"/>
        <w:gridCol w:w="1383"/>
      </w:tblGrid>
      <w:tr w:rsidR="002E22DD" w:rsidRPr="00473566" w14:paraId="76584FB0" w14:textId="77777777" w:rsidTr="00332263">
        <w:trPr>
          <w:trHeight w:val="454"/>
        </w:trPr>
        <w:tc>
          <w:tcPr>
            <w:tcW w:w="28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5F99" w14:textId="77777777" w:rsidR="002E22DD" w:rsidRPr="00473566" w:rsidRDefault="002E22DD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Obrtnici/samostalni poduzetnici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10B64481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 zona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3B6ECD20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 zona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24C00A4F" w14:textId="77777777" w:rsidR="00C24A3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III zona</w:t>
            </w:r>
          </w:p>
        </w:tc>
      </w:tr>
      <w:tr w:rsidR="00291AEA" w:rsidRPr="00473566" w14:paraId="2E5BC852" w14:textId="77777777" w:rsidTr="00332263">
        <w:tc>
          <w:tcPr>
            <w:tcW w:w="2819" w:type="pct"/>
            <w:tcBorders>
              <w:top w:val="single" w:sz="4" w:space="0" w:color="auto"/>
            </w:tcBorders>
          </w:tcPr>
          <w:p w14:paraId="34F60EB8" w14:textId="381BA4C5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Iznos pristojbe za osobe koje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su</w:t>
            </w: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imale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prihod u prethodnoj godini manji od 25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727" w:type="pct"/>
            <w:vAlign w:val="center"/>
          </w:tcPr>
          <w:p w14:paraId="5E9F8561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100,00 KM</w:t>
            </w:r>
          </w:p>
        </w:tc>
        <w:tc>
          <w:tcPr>
            <w:tcW w:w="727" w:type="pct"/>
            <w:vAlign w:val="center"/>
          </w:tcPr>
          <w:p w14:paraId="28CCC098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90,00 KM</w:t>
            </w:r>
          </w:p>
        </w:tc>
        <w:tc>
          <w:tcPr>
            <w:tcW w:w="727" w:type="pct"/>
            <w:vAlign w:val="center"/>
          </w:tcPr>
          <w:p w14:paraId="52053F57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80,00 KM</w:t>
            </w:r>
          </w:p>
        </w:tc>
      </w:tr>
      <w:tr w:rsidR="00291AEA" w:rsidRPr="00473566" w14:paraId="1386ED35" w14:textId="77777777" w:rsidTr="00332263">
        <w:tc>
          <w:tcPr>
            <w:tcW w:w="2819" w:type="pct"/>
          </w:tcPr>
          <w:p w14:paraId="1220B1DB" w14:textId="178CE8C5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Iznos pristojbe za osobe koje su imale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prihod u prethodnoj godini veći od 25.000,00 KM, a manji od 50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727" w:type="pct"/>
            <w:vAlign w:val="center"/>
          </w:tcPr>
          <w:p w14:paraId="0B53DDA7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150,00 KM</w:t>
            </w:r>
          </w:p>
        </w:tc>
        <w:tc>
          <w:tcPr>
            <w:tcW w:w="727" w:type="pct"/>
            <w:vAlign w:val="center"/>
          </w:tcPr>
          <w:p w14:paraId="2B6B00E6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140,00 KM</w:t>
            </w:r>
          </w:p>
        </w:tc>
        <w:tc>
          <w:tcPr>
            <w:tcW w:w="727" w:type="pct"/>
            <w:vAlign w:val="center"/>
          </w:tcPr>
          <w:p w14:paraId="430E37FE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130,00 KM</w:t>
            </w:r>
          </w:p>
        </w:tc>
      </w:tr>
      <w:tr w:rsidR="00291AEA" w:rsidRPr="00473566" w14:paraId="235996C0" w14:textId="77777777" w:rsidTr="00332263">
        <w:tc>
          <w:tcPr>
            <w:tcW w:w="2819" w:type="pct"/>
          </w:tcPr>
          <w:p w14:paraId="3A46CD3E" w14:textId="13CA80D2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osobe koje su imale prihod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u prethodnoj godini veći od 50.000,00 KM, a manji od 100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727" w:type="pct"/>
            <w:vAlign w:val="center"/>
          </w:tcPr>
          <w:p w14:paraId="493C85D6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200,00 KM</w:t>
            </w:r>
          </w:p>
        </w:tc>
        <w:tc>
          <w:tcPr>
            <w:tcW w:w="727" w:type="pct"/>
            <w:vAlign w:val="center"/>
          </w:tcPr>
          <w:p w14:paraId="31E73311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190,00 KM</w:t>
            </w:r>
          </w:p>
        </w:tc>
        <w:tc>
          <w:tcPr>
            <w:tcW w:w="727" w:type="pct"/>
            <w:vAlign w:val="center"/>
          </w:tcPr>
          <w:p w14:paraId="0D9EE23B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180,00 KM</w:t>
            </w:r>
          </w:p>
        </w:tc>
      </w:tr>
      <w:tr w:rsidR="00291AEA" w:rsidRPr="00473566" w14:paraId="38563757" w14:textId="77777777" w:rsidTr="00332263">
        <w:tc>
          <w:tcPr>
            <w:tcW w:w="2819" w:type="pct"/>
          </w:tcPr>
          <w:p w14:paraId="3EF908C2" w14:textId="5ABCB50E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osobe koje su imale prihod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u prethodnoj godini veći od 100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727" w:type="pct"/>
            <w:vAlign w:val="center"/>
          </w:tcPr>
          <w:p w14:paraId="72D1DF7A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25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0,00 KM</w:t>
            </w:r>
          </w:p>
        </w:tc>
        <w:tc>
          <w:tcPr>
            <w:tcW w:w="727" w:type="pct"/>
            <w:vAlign w:val="center"/>
          </w:tcPr>
          <w:p w14:paraId="787745D3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23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0,00 KM</w:t>
            </w:r>
          </w:p>
        </w:tc>
        <w:tc>
          <w:tcPr>
            <w:tcW w:w="727" w:type="pct"/>
            <w:vAlign w:val="center"/>
          </w:tcPr>
          <w:p w14:paraId="12BEAF42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21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0,00 KM</w:t>
            </w:r>
          </w:p>
        </w:tc>
      </w:tr>
    </w:tbl>
    <w:p w14:paraId="5E95DF91" w14:textId="77777777" w:rsidR="00F404EB" w:rsidRDefault="00F404EB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C57EF7B" w14:textId="77777777" w:rsidR="00473566" w:rsidRPr="00473566" w:rsidRDefault="00473566" w:rsidP="0047356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Od  plaćanja komunalne pristojbe na istaknutu tvrtku, </w:t>
      </w:r>
      <w:r w:rsidRPr="000B3476">
        <w:rPr>
          <w:rFonts w:ascii="Times New Roman" w:hAnsi="Times New Roman"/>
          <w:b/>
          <w:bCs/>
          <w:sz w:val="24"/>
          <w:szCs w:val="24"/>
          <w:lang w:val="hr-BA"/>
        </w:rPr>
        <w:t>oslobođeni su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: </w:t>
      </w:r>
    </w:p>
    <w:p w14:paraId="048B457D" w14:textId="77777777" w:rsidR="00473566" w:rsidRDefault="00473566" w:rsidP="00473566">
      <w:pPr>
        <w:pStyle w:val="Bezproreda"/>
        <w:numPr>
          <w:ilvl w:val="0"/>
          <w:numId w:val="33"/>
        </w:numPr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obrtnici/samostalni poduzetnici sa najmanje 60% invaliditeta; </w:t>
      </w:r>
    </w:p>
    <w:p w14:paraId="4B0DFFB5" w14:textId="657DCCCB" w:rsidR="00473566" w:rsidRPr="00473566" w:rsidRDefault="000B3476" w:rsidP="00473566">
      <w:pPr>
        <w:pStyle w:val="Bezproreda"/>
        <w:numPr>
          <w:ilvl w:val="0"/>
          <w:numId w:val="33"/>
        </w:numPr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="00473566" w:rsidRPr="00473566">
        <w:rPr>
          <w:rFonts w:ascii="Times New Roman" w:hAnsi="Times New Roman"/>
          <w:sz w:val="24"/>
          <w:szCs w:val="24"/>
          <w:lang w:val="hr-BA"/>
        </w:rPr>
        <w:t xml:space="preserve">ravna ili fizička osoba koja </w:t>
      </w:r>
      <w:r w:rsidR="00473566" w:rsidRPr="00071D93">
        <w:rPr>
          <w:rFonts w:ascii="Times New Roman" w:hAnsi="Times New Roman"/>
          <w:i/>
          <w:iCs/>
          <w:sz w:val="24"/>
          <w:szCs w:val="24"/>
          <w:u w:val="single"/>
          <w:lang w:val="hr-BA"/>
        </w:rPr>
        <w:t>prvi put registrira</w:t>
      </w:r>
      <w:r w:rsidR="00473566" w:rsidRPr="00473566">
        <w:rPr>
          <w:rFonts w:ascii="Times New Roman" w:hAnsi="Times New Roman"/>
          <w:sz w:val="24"/>
          <w:szCs w:val="24"/>
          <w:lang w:val="hr-BA"/>
        </w:rPr>
        <w:t xml:space="preserve"> djelatnost na području Grada Livna, oslobađa se plaćanja pristojbe na istaknutu tvrtku u prvoj godini poslovanja, uključujući i prvu registraciju poslovne jedinice/podružnice/filijale. </w:t>
      </w:r>
    </w:p>
    <w:p w14:paraId="65E892BD" w14:textId="77777777" w:rsidR="006C3432" w:rsidRPr="00473566" w:rsidRDefault="006C3432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2"/>
        <w:gridCol w:w="1417"/>
        <w:gridCol w:w="1565"/>
        <w:gridCol w:w="1418"/>
      </w:tblGrid>
      <w:tr w:rsidR="00291AEA" w:rsidRPr="00473566" w14:paraId="3CCBBC9B" w14:textId="77777777" w:rsidTr="001B1872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256DF" w14:textId="77777777" w:rsidR="00C24A3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Mikr</w:t>
            </w:r>
            <w:r w:rsidR="002E22DD"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o, male, srednje i velike pravne</w:t>
            </w: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osobe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DB664E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 zona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EF08824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 zona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A3A3B2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III zona</w:t>
            </w:r>
          </w:p>
        </w:tc>
      </w:tr>
      <w:tr w:rsidR="00291AEA" w:rsidRPr="00473566" w14:paraId="5D4E6871" w14:textId="77777777" w:rsidTr="001B1872">
        <w:tc>
          <w:tcPr>
            <w:tcW w:w="5382" w:type="dxa"/>
            <w:tcBorders>
              <w:top w:val="single" w:sz="4" w:space="0" w:color="auto"/>
            </w:tcBorders>
          </w:tcPr>
          <w:p w14:paraId="6F0F5116" w14:textId="111D9CF9" w:rsidR="00F404EB" w:rsidRPr="00473566" w:rsidRDefault="00F404EB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</w:t>
            </w:r>
            <w:r w:rsidR="00BE74C9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pristojbe za pravne osobe koje su imale</w:t>
            </w: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prihod u prethodnoj godini manji od 100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1417" w:type="dxa"/>
            <w:vAlign w:val="center"/>
          </w:tcPr>
          <w:p w14:paraId="39A69D79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300,00 KM</w:t>
            </w:r>
          </w:p>
        </w:tc>
        <w:tc>
          <w:tcPr>
            <w:tcW w:w="1565" w:type="dxa"/>
            <w:vAlign w:val="center"/>
          </w:tcPr>
          <w:p w14:paraId="47F3F4C3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280,00 KM</w:t>
            </w:r>
          </w:p>
        </w:tc>
        <w:tc>
          <w:tcPr>
            <w:tcW w:w="1418" w:type="dxa"/>
            <w:vAlign w:val="center"/>
          </w:tcPr>
          <w:p w14:paraId="7501B374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250,00 KM</w:t>
            </w:r>
          </w:p>
        </w:tc>
      </w:tr>
      <w:tr w:rsidR="00291AEA" w:rsidRPr="00473566" w14:paraId="67F5CFF7" w14:textId="77777777" w:rsidTr="001B1872">
        <w:tc>
          <w:tcPr>
            <w:tcW w:w="5382" w:type="dxa"/>
          </w:tcPr>
          <w:p w14:paraId="2409A845" w14:textId="2AF1963E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lastRenderedPageBreak/>
              <w:t xml:space="preserve">Iznos pristojbe za pravne osobe koje su imale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prihod u prethodnoj godini veći od 100.000,00 KM, a manji od 250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1417" w:type="dxa"/>
            <w:vAlign w:val="center"/>
          </w:tcPr>
          <w:p w14:paraId="21892427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350,00 KM</w:t>
            </w:r>
          </w:p>
        </w:tc>
        <w:tc>
          <w:tcPr>
            <w:tcW w:w="1565" w:type="dxa"/>
            <w:vAlign w:val="center"/>
          </w:tcPr>
          <w:p w14:paraId="253CB1C7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330,00 KM</w:t>
            </w:r>
          </w:p>
        </w:tc>
        <w:tc>
          <w:tcPr>
            <w:tcW w:w="1418" w:type="dxa"/>
            <w:vAlign w:val="center"/>
          </w:tcPr>
          <w:p w14:paraId="247CEF52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300,00 KM</w:t>
            </w:r>
          </w:p>
        </w:tc>
      </w:tr>
      <w:tr w:rsidR="00291AEA" w:rsidRPr="00473566" w14:paraId="517EA855" w14:textId="77777777" w:rsidTr="001B1872">
        <w:tc>
          <w:tcPr>
            <w:tcW w:w="5382" w:type="dxa"/>
          </w:tcPr>
          <w:p w14:paraId="5C3812E4" w14:textId="76D02A3E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pravne osobe koje su imale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prihod u prethodnoj godini veći od 250.000,00 KM, a manji od 500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1417" w:type="dxa"/>
            <w:vAlign w:val="center"/>
          </w:tcPr>
          <w:p w14:paraId="6E399EB3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400,00 KM</w:t>
            </w:r>
          </w:p>
        </w:tc>
        <w:tc>
          <w:tcPr>
            <w:tcW w:w="1565" w:type="dxa"/>
            <w:vAlign w:val="center"/>
          </w:tcPr>
          <w:p w14:paraId="338A2C1E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380,00 KM</w:t>
            </w:r>
          </w:p>
        </w:tc>
        <w:tc>
          <w:tcPr>
            <w:tcW w:w="1418" w:type="dxa"/>
            <w:vAlign w:val="center"/>
          </w:tcPr>
          <w:p w14:paraId="56CB54BD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350,00 KM</w:t>
            </w:r>
          </w:p>
        </w:tc>
      </w:tr>
      <w:tr w:rsidR="00291AEA" w:rsidRPr="00473566" w14:paraId="002B5714" w14:textId="77777777" w:rsidTr="001B1872">
        <w:tc>
          <w:tcPr>
            <w:tcW w:w="5382" w:type="dxa"/>
          </w:tcPr>
          <w:p w14:paraId="030C9E46" w14:textId="3C67D7D7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pravne osobe koje su imale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prihod u prethodnoj godini veći od 500.000,00 KM, a manji od 1.000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1417" w:type="dxa"/>
            <w:vAlign w:val="center"/>
          </w:tcPr>
          <w:p w14:paraId="16208B4B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500,00 KM</w:t>
            </w:r>
          </w:p>
        </w:tc>
        <w:tc>
          <w:tcPr>
            <w:tcW w:w="1565" w:type="dxa"/>
            <w:vAlign w:val="center"/>
          </w:tcPr>
          <w:p w14:paraId="798C87FF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450,00 KM</w:t>
            </w:r>
          </w:p>
        </w:tc>
        <w:tc>
          <w:tcPr>
            <w:tcW w:w="1418" w:type="dxa"/>
            <w:vAlign w:val="center"/>
          </w:tcPr>
          <w:p w14:paraId="1F4A4AFC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400,00 KM</w:t>
            </w:r>
          </w:p>
        </w:tc>
      </w:tr>
      <w:tr w:rsidR="00291AEA" w:rsidRPr="00473566" w14:paraId="21CD847F" w14:textId="77777777" w:rsidTr="001B1872">
        <w:tc>
          <w:tcPr>
            <w:tcW w:w="5382" w:type="dxa"/>
          </w:tcPr>
          <w:p w14:paraId="19B85037" w14:textId="3E50CA26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pravne osobe koje su imale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prihod u prethodnoj godini veći od 1.000.000,00 KM, a manji od 3.000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1417" w:type="dxa"/>
            <w:vAlign w:val="center"/>
          </w:tcPr>
          <w:p w14:paraId="4EEA1F6E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1.000,00 KM</w:t>
            </w:r>
          </w:p>
        </w:tc>
        <w:tc>
          <w:tcPr>
            <w:tcW w:w="1565" w:type="dxa"/>
            <w:vAlign w:val="center"/>
          </w:tcPr>
          <w:p w14:paraId="06C491D1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950,00 KM</w:t>
            </w:r>
          </w:p>
        </w:tc>
        <w:tc>
          <w:tcPr>
            <w:tcW w:w="1418" w:type="dxa"/>
            <w:vAlign w:val="center"/>
          </w:tcPr>
          <w:p w14:paraId="3E1AB639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900,00 KM</w:t>
            </w:r>
          </w:p>
        </w:tc>
      </w:tr>
      <w:tr w:rsidR="00291AEA" w:rsidRPr="00473566" w14:paraId="360D2BEC" w14:textId="77777777" w:rsidTr="001B1872">
        <w:tc>
          <w:tcPr>
            <w:tcW w:w="5382" w:type="dxa"/>
          </w:tcPr>
          <w:p w14:paraId="6460C32B" w14:textId="3916E4B5" w:rsidR="00F404EB" w:rsidRPr="00473566" w:rsidRDefault="00BE74C9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pravne osobe koje su imale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prihod u prethodnoj godini veći od 3.000.000,00 KM, a manji od 5.000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1417" w:type="dxa"/>
            <w:vAlign w:val="center"/>
          </w:tcPr>
          <w:p w14:paraId="6F2C29F3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2.000,00 KM</w:t>
            </w:r>
          </w:p>
        </w:tc>
        <w:tc>
          <w:tcPr>
            <w:tcW w:w="1565" w:type="dxa"/>
            <w:vAlign w:val="center"/>
          </w:tcPr>
          <w:p w14:paraId="0C524D9C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1.900,00 KM</w:t>
            </w:r>
          </w:p>
        </w:tc>
        <w:tc>
          <w:tcPr>
            <w:tcW w:w="1418" w:type="dxa"/>
            <w:vAlign w:val="center"/>
          </w:tcPr>
          <w:p w14:paraId="4C7816BD" w14:textId="77777777" w:rsidR="00F404EB" w:rsidRPr="00473566" w:rsidRDefault="00F404EB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1.800,00 KM</w:t>
            </w:r>
          </w:p>
        </w:tc>
      </w:tr>
      <w:tr w:rsidR="00291AEA" w:rsidRPr="00473566" w14:paraId="555944E0" w14:textId="77777777" w:rsidTr="001B1872">
        <w:tc>
          <w:tcPr>
            <w:tcW w:w="5382" w:type="dxa"/>
          </w:tcPr>
          <w:p w14:paraId="325ADFB7" w14:textId="76446656" w:rsidR="00F404EB" w:rsidRPr="00473566" w:rsidRDefault="009C56B3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pravne osobe koje su imale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prihod u prethodnoj godini veći od 5.000.000,00 KM, a manji od 8.000</w:t>
            </w:r>
            <w:r w:rsidR="00F057F2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.000,00 KM</w:t>
            </w:r>
          </w:p>
        </w:tc>
        <w:tc>
          <w:tcPr>
            <w:tcW w:w="1417" w:type="dxa"/>
            <w:vAlign w:val="center"/>
          </w:tcPr>
          <w:p w14:paraId="6345474B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3.0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00,00 KM</w:t>
            </w:r>
          </w:p>
        </w:tc>
        <w:tc>
          <w:tcPr>
            <w:tcW w:w="1565" w:type="dxa"/>
            <w:vAlign w:val="center"/>
          </w:tcPr>
          <w:p w14:paraId="73CD03F3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2.9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00,00 KM</w:t>
            </w:r>
          </w:p>
        </w:tc>
        <w:tc>
          <w:tcPr>
            <w:tcW w:w="1418" w:type="dxa"/>
            <w:vAlign w:val="center"/>
          </w:tcPr>
          <w:p w14:paraId="1B1D7D36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2.8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00,00 KM</w:t>
            </w:r>
          </w:p>
        </w:tc>
      </w:tr>
      <w:tr w:rsidR="00291AEA" w:rsidRPr="00473566" w14:paraId="3CFD5A44" w14:textId="77777777" w:rsidTr="001B1872">
        <w:tc>
          <w:tcPr>
            <w:tcW w:w="5382" w:type="dxa"/>
          </w:tcPr>
          <w:p w14:paraId="5CB4316C" w14:textId="5BF58D8E" w:rsidR="00F404EB" w:rsidRPr="00473566" w:rsidRDefault="009C56B3" w:rsidP="00602F88">
            <w:pPr>
              <w:pStyle w:val="Bezproreda"/>
              <w:spacing w:line="0" w:lineRule="atLeas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Iznos pristojbe za pravne osobe koje su imale 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prihod u prethodnoj godini veći od 8.000.000,00 KM</w:t>
            </w:r>
          </w:p>
        </w:tc>
        <w:tc>
          <w:tcPr>
            <w:tcW w:w="1417" w:type="dxa"/>
            <w:vAlign w:val="center"/>
          </w:tcPr>
          <w:p w14:paraId="07D8D33B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3.5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00,00 KM</w:t>
            </w:r>
          </w:p>
        </w:tc>
        <w:tc>
          <w:tcPr>
            <w:tcW w:w="1565" w:type="dxa"/>
            <w:vAlign w:val="center"/>
          </w:tcPr>
          <w:p w14:paraId="242C2D7E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3.3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00,00 KM</w:t>
            </w:r>
          </w:p>
        </w:tc>
        <w:tc>
          <w:tcPr>
            <w:tcW w:w="1418" w:type="dxa"/>
            <w:vAlign w:val="center"/>
          </w:tcPr>
          <w:p w14:paraId="4DD9F0F2" w14:textId="77777777" w:rsidR="00F404EB" w:rsidRPr="00473566" w:rsidRDefault="003B1C34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3.2</w:t>
            </w:r>
            <w:r w:rsidR="00F404EB" w:rsidRPr="00473566">
              <w:rPr>
                <w:rFonts w:ascii="Times New Roman" w:hAnsi="Times New Roman"/>
                <w:sz w:val="24"/>
                <w:szCs w:val="24"/>
                <w:lang w:val="hr-BA"/>
              </w:rPr>
              <w:t>00,00 KM</w:t>
            </w:r>
          </w:p>
        </w:tc>
      </w:tr>
    </w:tbl>
    <w:p w14:paraId="086243D4" w14:textId="77777777" w:rsidR="00BB3642" w:rsidRDefault="00BB3642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5E7CC130" w14:textId="2E3D7FF2" w:rsidR="00A716A6" w:rsidRPr="002E7899" w:rsidRDefault="002E7899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Obveznici komunalne pristojbe koji </w:t>
      </w:r>
      <w:r w:rsidRPr="00BB3642">
        <w:rPr>
          <w:rFonts w:ascii="Times New Roman" w:hAnsi="Times New Roman"/>
          <w:i/>
          <w:iCs/>
          <w:sz w:val="24"/>
          <w:szCs w:val="24"/>
          <w:u w:val="single"/>
          <w:lang w:val="hr-BA"/>
        </w:rPr>
        <w:t>nemaju sjedište na području Grada Livna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, plaćaju komunalnu pristojbu za svaku poslovnu jedinicu/podružnicu/filijalu sukladno prihodu poslovne jedinice/podružnice/filijale, </w:t>
      </w:r>
      <w:r w:rsidRPr="002E7899">
        <w:rPr>
          <w:rFonts w:ascii="Times New Roman" w:hAnsi="Times New Roman"/>
          <w:b/>
          <w:bCs/>
          <w:sz w:val="24"/>
          <w:szCs w:val="24"/>
          <w:lang w:val="hr-BA"/>
        </w:rPr>
        <w:t>u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2E7899">
        <w:rPr>
          <w:rFonts w:ascii="Times New Roman" w:hAnsi="Times New Roman"/>
          <w:b/>
          <w:bCs/>
          <w:sz w:val="24"/>
          <w:szCs w:val="24"/>
          <w:lang w:val="hr-BA"/>
        </w:rPr>
        <w:t>gore propisanoj visini</w:t>
      </w:r>
      <w:r>
        <w:rPr>
          <w:rFonts w:ascii="Times New Roman" w:hAnsi="Times New Roman"/>
          <w:sz w:val="24"/>
          <w:szCs w:val="24"/>
          <w:lang w:val="hr-BA"/>
        </w:rPr>
        <w:t>.</w:t>
      </w:r>
    </w:p>
    <w:p w14:paraId="34B9DA3C" w14:textId="71B8474E" w:rsidR="003C030F" w:rsidRPr="00AE49B4" w:rsidRDefault="003C030F" w:rsidP="00AE49B4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418"/>
        <w:gridCol w:w="1417"/>
      </w:tblGrid>
      <w:tr w:rsidR="000D1A7F" w:rsidRPr="00473566" w14:paraId="554A2247" w14:textId="77777777" w:rsidTr="000D1A7F">
        <w:tc>
          <w:tcPr>
            <w:tcW w:w="5495" w:type="dxa"/>
            <w:vMerge w:val="restart"/>
            <w:shd w:val="clear" w:color="auto" w:fill="D9D9D9" w:themeFill="background1" w:themeFillShade="D9"/>
            <w:vAlign w:val="center"/>
          </w:tcPr>
          <w:p w14:paraId="58F5EEF6" w14:textId="77777777" w:rsidR="000D1A7F" w:rsidRPr="00473566" w:rsidRDefault="000D1A7F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Poslovne jedinice/podružnice/filijale na području grada Livna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DD31ED" w14:textId="77777777" w:rsidR="000D1A7F" w:rsidRPr="00473566" w:rsidRDefault="000D1A7F" w:rsidP="00602F8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 zona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D133C7" w14:textId="77777777" w:rsidR="000D1A7F" w:rsidRPr="00473566" w:rsidRDefault="000D1A7F" w:rsidP="00602F8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 zona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BC3BAC" w14:textId="77777777" w:rsidR="000D1A7F" w:rsidRPr="00473566" w:rsidRDefault="000D1A7F" w:rsidP="00602F8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III zona</w:t>
            </w:r>
          </w:p>
        </w:tc>
      </w:tr>
      <w:tr w:rsidR="000D1A7F" w:rsidRPr="00473566" w14:paraId="40A7382D" w14:textId="77777777" w:rsidTr="000D1A7F">
        <w:tc>
          <w:tcPr>
            <w:tcW w:w="5495" w:type="dxa"/>
            <w:vMerge/>
            <w:shd w:val="clear" w:color="auto" w:fill="D9D9D9" w:themeFill="background1" w:themeFillShade="D9"/>
            <w:vAlign w:val="center"/>
          </w:tcPr>
          <w:p w14:paraId="1811F41C" w14:textId="77777777" w:rsidR="000D1A7F" w:rsidRPr="00473566" w:rsidRDefault="000D1A7F" w:rsidP="00602F88">
            <w:pPr>
              <w:pStyle w:val="Bezproreda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03CE8262" w14:textId="77777777" w:rsidR="000D1A7F" w:rsidRPr="00473566" w:rsidRDefault="000D1A7F" w:rsidP="00602F8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100,00 KM</w:t>
            </w:r>
          </w:p>
        </w:tc>
        <w:tc>
          <w:tcPr>
            <w:tcW w:w="1418" w:type="dxa"/>
            <w:vAlign w:val="center"/>
          </w:tcPr>
          <w:p w14:paraId="246CA386" w14:textId="77777777" w:rsidR="000D1A7F" w:rsidRPr="00473566" w:rsidRDefault="000D1A7F" w:rsidP="00602F8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80,00 KM</w:t>
            </w:r>
          </w:p>
        </w:tc>
        <w:tc>
          <w:tcPr>
            <w:tcW w:w="1417" w:type="dxa"/>
            <w:vAlign w:val="center"/>
          </w:tcPr>
          <w:p w14:paraId="76CA0ED0" w14:textId="77777777" w:rsidR="000D1A7F" w:rsidRPr="00473566" w:rsidRDefault="000D1A7F" w:rsidP="00602F8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73566">
              <w:rPr>
                <w:rFonts w:ascii="Times New Roman" w:hAnsi="Times New Roman"/>
                <w:sz w:val="24"/>
                <w:szCs w:val="24"/>
                <w:lang w:val="hr-BA"/>
              </w:rPr>
              <w:t>50,00 KM</w:t>
            </w:r>
          </w:p>
        </w:tc>
      </w:tr>
    </w:tbl>
    <w:p w14:paraId="6A22DE80" w14:textId="77777777" w:rsidR="000D1A7F" w:rsidRPr="00473566" w:rsidRDefault="000D1A7F" w:rsidP="003C030F">
      <w:pPr>
        <w:pStyle w:val="Bezproreda"/>
        <w:spacing w:line="0" w:lineRule="atLeast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100C02C4" w14:textId="77777777" w:rsidR="002E7899" w:rsidRDefault="002E7899" w:rsidP="002E7899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 p</w:t>
      </w:r>
      <w:r w:rsidRPr="00473566">
        <w:rPr>
          <w:rFonts w:ascii="Times New Roman" w:hAnsi="Times New Roman"/>
          <w:sz w:val="24"/>
          <w:szCs w:val="24"/>
          <w:lang w:val="hr-BA"/>
        </w:rPr>
        <w:t>ravn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ili fizičk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osob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koja </w:t>
      </w:r>
      <w:r w:rsidRPr="00071D93">
        <w:rPr>
          <w:rFonts w:ascii="Times New Roman" w:hAnsi="Times New Roman"/>
          <w:i/>
          <w:iCs/>
          <w:sz w:val="24"/>
          <w:szCs w:val="24"/>
          <w:u w:val="single"/>
          <w:lang w:val="hr-BA"/>
        </w:rPr>
        <w:t>prvi put registrira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djelatnost na području Grada Livna, </w:t>
      </w:r>
      <w:r w:rsidRPr="000B3476">
        <w:rPr>
          <w:rFonts w:ascii="Times New Roman" w:hAnsi="Times New Roman"/>
          <w:b/>
          <w:bCs/>
          <w:sz w:val="24"/>
          <w:szCs w:val="24"/>
          <w:lang w:val="hr-BA"/>
        </w:rPr>
        <w:t>oslobađa se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plaćanja pristojbe na istaknutu tvrtku u prvoj godini poslovanja, uključujući i prvu registraciju poslovne jedinice/podružnice/filijale.</w:t>
      </w:r>
    </w:p>
    <w:p w14:paraId="1A983352" w14:textId="77777777" w:rsidR="00332263" w:rsidRDefault="00332263" w:rsidP="00332263">
      <w:pPr>
        <w:pStyle w:val="Bezproreda"/>
        <w:spacing w:line="0" w:lineRule="atLeast"/>
        <w:ind w:left="720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6CB133DD" w14:textId="05BAC90F" w:rsidR="003E4546" w:rsidRPr="00473566" w:rsidRDefault="003E4546" w:rsidP="00473566">
      <w:pPr>
        <w:pStyle w:val="Bezproreda"/>
        <w:spacing w:line="0" w:lineRule="atLeast"/>
        <w:ind w:left="720"/>
        <w:jc w:val="center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PRIJAVA/PODNOŠENJE</w:t>
      </w:r>
    </w:p>
    <w:p w14:paraId="651F8950" w14:textId="77777777" w:rsidR="003E4546" w:rsidRPr="00473566" w:rsidRDefault="003E4546" w:rsidP="003E4546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1948847" w14:textId="6E27354D" w:rsidR="003E4546" w:rsidRPr="00473566" w:rsidRDefault="003E4546" w:rsidP="00332263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Prijavu za razrez komunalne pristojbe porezni obveznik je dužan podnijeti Poreznoj upravi- Ispostavi Livno, </w:t>
      </w:r>
      <w:r w:rsidRPr="001B1872">
        <w:rPr>
          <w:rFonts w:ascii="Times New Roman" w:hAnsi="Times New Roman"/>
          <w:b/>
          <w:bCs/>
          <w:sz w:val="24"/>
          <w:szCs w:val="24"/>
          <w:lang w:val="hr-BA"/>
        </w:rPr>
        <w:t xml:space="preserve">do </w:t>
      </w:r>
      <w:r w:rsidRPr="001B1872">
        <w:rPr>
          <w:rFonts w:ascii="Times New Roman" w:hAnsi="Times New Roman"/>
          <w:b/>
          <w:bCs/>
          <w:i/>
          <w:sz w:val="24"/>
          <w:szCs w:val="24"/>
          <w:u w:val="single"/>
          <w:lang w:val="hr-BA"/>
        </w:rPr>
        <w:t>15.4. tekuće godine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za prethodnu godinu.</w:t>
      </w:r>
      <w:r w:rsidR="00332263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Porezna prijava komunalne pristojbe podnosi se na </w:t>
      </w:r>
      <w:r w:rsidRPr="001B1872">
        <w:rPr>
          <w:rFonts w:ascii="Times New Roman" w:hAnsi="Times New Roman"/>
          <w:b/>
          <w:bCs/>
          <w:i/>
          <w:sz w:val="24"/>
          <w:szCs w:val="24"/>
          <w:u w:val="single"/>
          <w:lang w:val="hr-BA"/>
        </w:rPr>
        <w:t>obrascu</w:t>
      </w:r>
      <w:r w:rsidR="007B00A7" w:rsidRPr="001B1872">
        <w:rPr>
          <w:rFonts w:ascii="Times New Roman" w:hAnsi="Times New Roman"/>
          <w:b/>
          <w:bCs/>
          <w:i/>
          <w:sz w:val="24"/>
          <w:szCs w:val="24"/>
          <w:u w:val="single"/>
          <w:lang w:val="hr-BA"/>
        </w:rPr>
        <w:t xml:space="preserve"> KP-1</w:t>
      </w:r>
      <w:r w:rsidRPr="001B1872">
        <w:rPr>
          <w:rFonts w:ascii="Times New Roman" w:hAnsi="Times New Roman"/>
          <w:b/>
          <w:bCs/>
          <w:sz w:val="24"/>
          <w:szCs w:val="24"/>
          <w:lang w:val="hr-BA"/>
        </w:rPr>
        <w:t>.</w:t>
      </w:r>
      <w:r w:rsidRPr="00473566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3364FC7F" w14:textId="77777777" w:rsidR="003F5D61" w:rsidRPr="00473566" w:rsidRDefault="003F5D61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44376031" w14:textId="77777777" w:rsidR="003F5D61" w:rsidRPr="00473566" w:rsidRDefault="002A384D" w:rsidP="003C030F">
      <w:pPr>
        <w:pStyle w:val="Bezproreda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UPLATA PRISTOJBE</w:t>
      </w:r>
    </w:p>
    <w:p w14:paraId="1B72104B" w14:textId="77777777" w:rsidR="00F40FCB" w:rsidRPr="00473566" w:rsidRDefault="00F40FCB" w:rsidP="003C030F">
      <w:pPr>
        <w:pStyle w:val="Bezproreda"/>
        <w:spacing w:line="0" w:lineRule="atLeast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01E7D495" w14:textId="1D91AE2D" w:rsidR="003F5D61" w:rsidRPr="00473566" w:rsidRDefault="00B53B8B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bs-Latn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>Pristojbe</w:t>
      </w:r>
      <w:r w:rsidR="00F40FCB" w:rsidRPr="00473566">
        <w:rPr>
          <w:rFonts w:ascii="Times New Roman" w:hAnsi="Times New Roman"/>
          <w:sz w:val="24"/>
          <w:szCs w:val="24"/>
          <w:lang w:val="hr-BA"/>
        </w:rPr>
        <w:t xml:space="preserve"> se uplaćuju </w:t>
      </w:r>
      <w:r w:rsidR="003F5D61" w:rsidRPr="00473566">
        <w:rPr>
          <w:rFonts w:ascii="Times New Roman" w:hAnsi="Times New Roman"/>
          <w:sz w:val="24"/>
          <w:szCs w:val="24"/>
          <w:lang w:val="hr-BA"/>
        </w:rPr>
        <w:t>na depoz</w:t>
      </w:r>
      <w:r w:rsidR="00853BBE" w:rsidRPr="00473566">
        <w:rPr>
          <w:rFonts w:ascii="Times New Roman" w:hAnsi="Times New Roman"/>
          <w:sz w:val="24"/>
          <w:szCs w:val="24"/>
          <w:lang w:val="hr-BA"/>
        </w:rPr>
        <w:t xml:space="preserve">itni račun Proračuna Grada Livna, </w:t>
      </w:r>
      <w:r w:rsidR="007B00A7" w:rsidRPr="00473566">
        <w:rPr>
          <w:rFonts w:ascii="Times New Roman" w:hAnsi="Times New Roman"/>
          <w:sz w:val="24"/>
          <w:szCs w:val="24"/>
          <w:lang w:val="bs-Latn-BA"/>
        </w:rPr>
        <w:t>broj: 1610200063110044,  vrsta prihoda: 722322, šifra Općine: 055</w:t>
      </w:r>
      <w:r w:rsidR="0033226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F5D61" w:rsidRPr="00473566">
        <w:rPr>
          <w:rFonts w:ascii="Times New Roman" w:hAnsi="Times New Roman"/>
          <w:sz w:val="24"/>
          <w:szCs w:val="24"/>
          <w:lang w:val="hr-BA"/>
        </w:rPr>
        <w:t xml:space="preserve">i </w:t>
      </w:r>
      <w:r w:rsidR="00853BBE" w:rsidRPr="00473566">
        <w:rPr>
          <w:rFonts w:ascii="Times New Roman" w:hAnsi="Times New Roman"/>
          <w:sz w:val="24"/>
          <w:szCs w:val="24"/>
          <w:lang w:val="hr-BA"/>
        </w:rPr>
        <w:t>izvorni su prihod Grada Livna</w:t>
      </w:r>
      <w:r w:rsidR="003E4546" w:rsidRPr="00473566">
        <w:rPr>
          <w:rFonts w:ascii="Times New Roman" w:hAnsi="Times New Roman"/>
          <w:sz w:val="24"/>
          <w:szCs w:val="24"/>
          <w:lang w:val="hr-BA"/>
        </w:rPr>
        <w:t>.</w:t>
      </w:r>
    </w:p>
    <w:p w14:paraId="35D3089C" w14:textId="77777777" w:rsidR="00F40FCB" w:rsidRPr="00473566" w:rsidRDefault="00F40FCB" w:rsidP="007B00A7">
      <w:pPr>
        <w:pStyle w:val="Bezproreda"/>
        <w:spacing w:line="0" w:lineRule="atLeast"/>
        <w:rPr>
          <w:rFonts w:ascii="Times New Roman" w:hAnsi="Times New Roman"/>
          <w:b/>
          <w:sz w:val="24"/>
          <w:szCs w:val="24"/>
          <w:lang w:val="hr-BA"/>
        </w:rPr>
      </w:pPr>
    </w:p>
    <w:p w14:paraId="7BFE1027" w14:textId="77777777" w:rsidR="00FD398A" w:rsidRPr="00473566" w:rsidRDefault="002A384D" w:rsidP="003C030F">
      <w:pPr>
        <w:pStyle w:val="Bezproreda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hr-BA"/>
        </w:rPr>
      </w:pPr>
      <w:r w:rsidRPr="00473566">
        <w:rPr>
          <w:rFonts w:ascii="Times New Roman" w:hAnsi="Times New Roman"/>
          <w:b/>
          <w:sz w:val="24"/>
          <w:szCs w:val="24"/>
          <w:lang w:val="hr-BA"/>
        </w:rPr>
        <w:t>POVRAT VIŠE UPLAĆENE PRISTOJBE</w:t>
      </w:r>
    </w:p>
    <w:p w14:paraId="5CBEA3F3" w14:textId="77777777" w:rsidR="00F40FCB" w:rsidRPr="00473566" w:rsidRDefault="00F40FCB" w:rsidP="003C030F">
      <w:pPr>
        <w:pStyle w:val="Bezproreda"/>
        <w:spacing w:line="0" w:lineRule="atLeast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18A47DD1" w14:textId="77777777" w:rsidR="00FD398A" w:rsidRPr="00473566" w:rsidRDefault="00FD398A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 xml:space="preserve">Obveznik od </w:t>
      </w:r>
      <w:r w:rsidR="00853BBE" w:rsidRPr="00473566">
        <w:rPr>
          <w:rFonts w:ascii="Times New Roman" w:hAnsi="Times New Roman"/>
          <w:sz w:val="24"/>
          <w:szCs w:val="24"/>
          <w:lang w:val="hr-BA"/>
        </w:rPr>
        <w:t>kojeg je pri</w:t>
      </w:r>
      <w:r w:rsidRPr="00473566">
        <w:rPr>
          <w:rFonts w:ascii="Times New Roman" w:hAnsi="Times New Roman"/>
          <w:sz w:val="24"/>
          <w:szCs w:val="24"/>
          <w:lang w:val="hr-BA"/>
        </w:rPr>
        <w:t>stojba naplaćena, a koji nije bio dužan platiti ili je više uplatio, ima pravo na povrat više uplaćene pristojbe</w:t>
      </w:r>
      <w:r w:rsidR="003C030F" w:rsidRPr="00473566">
        <w:rPr>
          <w:rFonts w:ascii="Times New Roman" w:hAnsi="Times New Roman"/>
          <w:sz w:val="24"/>
          <w:szCs w:val="24"/>
          <w:lang w:val="hr-BA"/>
        </w:rPr>
        <w:t>.</w:t>
      </w:r>
    </w:p>
    <w:p w14:paraId="797B7AE9" w14:textId="77777777" w:rsidR="007907DC" w:rsidRPr="00473566" w:rsidRDefault="00FD398A" w:rsidP="003C030F">
      <w:pPr>
        <w:pStyle w:val="Bezproreda"/>
        <w:spacing w:line="0" w:lineRule="atLeast"/>
        <w:jc w:val="both"/>
        <w:rPr>
          <w:rFonts w:ascii="Times New Roman" w:hAnsi="Times New Roman"/>
          <w:sz w:val="24"/>
          <w:szCs w:val="24"/>
          <w:lang w:val="hr-BA"/>
        </w:rPr>
      </w:pPr>
      <w:r w:rsidRPr="00473566">
        <w:rPr>
          <w:rFonts w:ascii="Times New Roman" w:hAnsi="Times New Roman"/>
          <w:sz w:val="24"/>
          <w:szCs w:val="24"/>
          <w:lang w:val="hr-BA"/>
        </w:rPr>
        <w:t>Zahtjev za povrat se podnosi Poreznoj upravi u Livnu koja će u roku od 20 dana odlučiti o zahtjevu.</w:t>
      </w:r>
    </w:p>
    <w:sectPr w:rsidR="007907DC" w:rsidRPr="00473566" w:rsidSect="0042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6889"/>
    <w:multiLevelType w:val="hybridMultilevel"/>
    <w:tmpl w:val="1F3A7D88"/>
    <w:lvl w:ilvl="0" w:tplc="3C26E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5899"/>
    <w:multiLevelType w:val="hybridMultilevel"/>
    <w:tmpl w:val="604EF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0DAE"/>
    <w:multiLevelType w:val="hybridMultilevel"/>
    <w:tmpl w:val="72C2D5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91F"/>
    <w:multiLevelType w:val="hybridMultilevel"/>
    <w:tmpl w:val="4C1E6B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66D"/>
    <w:multiLevelType w:val="hybridMultilevel"/>
    <w:tmpl w:val="ECE6CD5A"/>
    <w:lvl w:ilvl="0" w:tplc="C2B2C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C5ABA"/>
    <w:multiLevelType w:val="hybridMultilevel"/>
    <w:tmpl w:val="5A12CDC2"/>
    <w:lvl w:ilvl="0" w:tplc="E2765F6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1AA723E9"/>
    <w:multiLevelType w:val="hybridMultilevel"/>
    <w:tmpl w:val="97AE88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61E99"/>
    <w:multiLevelType w:val="hybridMultilevel"/>
    <w:tmpl w:val="7C8C70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322B"/>
    <w:multiLevelType w:val="hybridMultilevel"/>
    <w:tmpl w:val="C12059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232CF"/>
    <w:multiLevelType w:val="hybridMultilevel"/>
    <w:tmpl w:val="A3DEFB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65DEC"/>
    <w:multiLevelType w:val="hybridMultilevel"/>
    <w:tmpl w:val="53F8DC42"/>
    <w:lvl w:ilvl="0" w:tplc="D4B473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A1B7F"/>
    <w:multiLevelType w:val="hybridMultilevel"/>
    <w:tmpl w:val="ACB297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05F3"/>
    <w:multiLevelType w:val="hybridMultilevel"/>
    <w:tmpl w:val="C6D694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17709"/>
    <w:multiLevelType w:val="hybridMultilevel"/>
    <w:tmpl w:val="B4687A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A02EC"/>
    <w:multiLevelType w:val="hybridMultilevel"/>
    <w:tmpl w:val="7090AF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B6B4F"/>
    <w:multiLevelType w:val="hybridMultilevel"/>
    <w:tmpl w:val="AFC22106"/>
    <w:lvl w:ilvl="0" w:tplc="6A42F2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107F5"/>
    <w:multiLevelType w:val="hybridMultilevel"/>
    <w:tmpl w:val="54A22A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435DC"/>
    <w:multiLevelType w:val="hybridMultilevel"/>
    <w:tmpl w:val="D430E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043E8"/>
    <w:multiLevelType w:val="hybridMultilevel"/>
    <w:tmpl w:val="ACB297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A1E1D"/>
    <w:multiLevelType w:val="hybridMultilevel"/>
    <w:tmpl w:val="CFEC4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5469"/>
    <w:multiLevelType w:val="hybridMultilevel"/>
    <w:tmpl w:val="27D0A1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B4E8C"/>
    <w:multiLevelType w:val="hybridMultilevel"/>
    <w:tmpl w:val="4A5866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3C9D"/>
    <w:multiLevelType w:val="hybridMultilevel"/>
    <w:tmpl w:val="881E5086"/>
    <w:lvl w:ilvl="0" w:tplc="0A82649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350" w:hanging="360"/>
      </w:pPr>
    </w:lvl>
    <w:lvl w:ilvl="2" w:tplc="101A001B" w:tentative="1">
      <w:start w:val="1"/>
      <w:numFmt w:val="lowerRoman"/>
      <w:lvlText w:val="%3."/>
      <w:lvlJc w:val="right"/>
      <w:pPr>
        <w:ind w:left="2070" w:hanging="180"/>
      </w:pPr>
    </w:lvl>
    <w:lvl w:ilvl="3" w:tplc="101A000F" w:tentative="1">
      <w:start w:val="1"/>
      <w:numFmt w:val="decimal"/>
      <w:lvlText w:val="%4."/>
      <w:lvlJc w:val="left"/>
      <w:pPr>
        <w:ind w:left="2790" w:hanging="360"/>
      </w:pPr>
    </w:lvl>
    <w:lvl w:ilvl="4" w:tplc="101A0019" w:tentative="1">
      <w:start w:val="1"/>
      <w:numFmt w:val="lowerLetter"/>
      <w:lvlText w:val="%5."/>
      <w:lvlJc w:val="left"/>
      <w:pPr>
        <w:ind w:left="3510" w:hanging="360"/>
      </w:pPr>
    </w:lvl>
    <w:lvl w:ilvl="5" w:tplc="101A001B" w:tentative="1">
      <w:start w:val="1"/>
      <w:numFmt w:val="lowerRoman"/>
      <w:lvlText w:val="%6."/>
      <w:lvlJc w:val="right"/>
      <w:pPr>
        <w:ind w:left="4230" w:hanging="180"/>
      </w:pPr>
    </w:lvl>
    <w:lvl w:ilvl="6" w:tplc="101A000F" w:tentative="1">
      <w:start w:val="1"/>
      <w:numFmt w:val="decimal"/>
      <w:lvlText w:val="%7."/>
      <w:lvlJc w:val="left"/>
      <w:pPr>
        <w:ind w:left="4950" w:hanging="360"/>
      </w:pPr>
    </w:lvl>
    <w:lvl w:ilvl="7" w:tplc="101A0019" w:tentative="1">
      <w:start w:val="1"/>
      <w:numFmt w:val="lowerLetter"/>
      <w:lvlText w:val="%8."/>
      <w:lvlJc w:val="left"/>
      <w:pPr>
        <w:ind w:left="5670" w:hanging="360"/>
      </w:pPr>
    </w:lvl>
    <w:lvl w:ilvl="8" w:tplc="10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1B40ABE"/>
    <w:multiLevelType w:val="hybridMultilevel"/>
    <w:tmpl w:val="A5D68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72570"/>
    <w:multiLevelType w:val="hybridMultilevel"/>
    <w:tmpl w:val="C12059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743C8"/>
    <w:multiLevelType w:val="hybridMultilevel"/>
    <w:tmpl w:val="594066E2"/>
    <w:lvl w:ilvl="0" w:tplc="346429E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7F625E5"/>
    <w:multiLevelType w:val="hybridMultilevel"/>
    <w:tmpl w:val="39863686"/>
    <w:lvl w:ilvl="0" w:tplc="9246239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C16"/>
    <w:multiLevelType w:val="hybridMultilevel"/>
    <w:tmpl w:val="DFB0E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331D4"/>
    <w:multiLevelType w:val="hybridMultilevel"/>
    <w:tmpl w:val="4A3A1B9C"/>
    <w:lvl w:ilvl="0" w:tplc="BAC460F0">
      <w:start w:val="4"/>
      <w:numFmt w:val="lowerLetter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B0E03"/>
    <w:multiLevelType w:val="hybridMultilevel"/>
    <w:tmpl w:val="9C1C89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742E5"/>
    <w:multiLevelType w:val="hybridMultilevel"/>
    <w:tmpl w:val="ACB29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E4FCF"/>
    <w:multiLevelType w:val="hybridMultilevel"/>
    <w:tmpl w:val="468615CE"/>
    <w:lvl w:ilvl="0" w:tplc="511AE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B428F"/>
    <w:multiLevelType w:val="hybridMultilevel"/>
    <w:tmpl w:val="52A62DEA"/>
    <w:lvl w:ilvl="0" w:tplc="36026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0133B"/>
    <w:multiLevelType w:val="hybridMultilevel"/>
    <w:tmpl w:val="ACB29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624">
    <w:abstractNumId w:val="32"/>
  </w:num>
  <w:num w:numId="2" w16cid:durableId="1640453020">
    <w:abstractNumId w:val="2"/>
  </w:num>
  <w:num w:numId="3" w16cid:durableId="1191725824">
    <w:abstractNumId w:val="0"/>
  </w:num>
  <w:num w:numId="4" w16cid:durableId="157382155">
    <w:abstractNumId w:val="10"/>
  </w:num>
  <w:num w:numId="5" w16cid:durableId="947734495">
    <w:abstractNumId w:val="26"/>
  </w:num>
  <w:num w:numId="6" w16cid:durableId="100691458">
    <w:abstractNumId w:val="6"/>
  </w:num>
  <w:num w:numId="7" w16cid:durableId="1728798650">
    <w:abstractNumId w:val="16"/>
  </w:num>
  <w:num w:numId="8" w16cid:durableId="1642539649">
    <w:abstractNumId w:val="29"/>
  </w:num>
  <w:num w:numId="9" w16cid:durableId="678197323">
    <w:abstractNumId w:val="20"/>
  </w:num>
  <w:num w:numId="10" w16cid:durableId="1318529974">
    <w:abstractNumId w:val="15"/>
  </w:num>
  <w:num w:numId="11" w16cid:durableId="2147043637">
    <w:abstractNumId w:val="25"/>
  </w:num>
  <w:num w:numId="12" w16cid:durableId="559906530">
    <w:abstractNumId w:val="5"/>
  </w:num>
  <w:num w:numId="13" w16cid:durableId="1825007291">
    <w:abstractNumId w:val="4"/>
  </w:num>
  <w:num w:numId="14" w16cid:durableId="790436125">
    <w:abstractNumId w:val="3"/>
  </w:num>
  <w:num w:numId="15" w16cid:durableId="1501433918">
    <w:abstractNumId w:val="9"/>
  </w:num>
  <w:num w:numId="16" w16cid:durableId="2064208207">
    <w:abstractNumId w:val="21"/>
  </w:num>
  <w:num w:numId="17" w16cid:durableId="328296617">
    <w:abstractNumId w:val="7"/>
  </w:num>
  <w:num w:numId="18" w16cid:durableId="1721703347">
    <w:abstractNumId w:val="17"/>
  </w:num>
  <w:num w:numId="19" w16cid:durableId="2121336414">
    <w:abstractNumId w:val="13"/>
  </w:num>
  <w:num w:numId="20" w16cid:durableId="581139792">
    <w:abstractNumId w:val="18"/>
  </w:num>
  <w:num w:numId="21" w16cid:durableId="1967541564">
    <w:abstractNumId w:val="12"/>
  </w:num>
  <w:num w:numId="22" w16cid:durableId="1377003128">
    <w:abstractNumId w:val="1"/>
  </w:num>
  <w:num w:numId="23" w16cid:durableId="902571086">
    <w:abstractNumId w:val="31"/>
  </w:num>
  <w:num w:numId="24" w16cid:durableId="1284113463">
    <w:abstractNumId w:val="11"/>
  </w:num>
  <w:num w:numId="25" w16cid:durableId="161749377">
    <w:abstractNumId w:val="14"/>
  </w:num>
  <w:num w:numId="26" w16cid:durableId="1904099258">
    <w:abstractNumId w:val="33"/>
  </w:num>
  <w:num w:numId="27" w16cid:durableId="199175465">
    <w:abstractNumId w:val="30"/>
  </w:num>
  <w:num w:numId="28" w16cid:durableId="1542397182">
    <w:abstractNumId w:val="24"/>
  </w:num>
  <w:num w:numId="29" w16cid:durableId="1367675292">
    <w:abstractNumId w:val="8"/>
  </w:num>
  <w:num w:numId="30" w16cid:durableId="1882357534">
    <w:abstractNumId w:val="22"/>
  </w:num>
  <w:num w:numId="31" w16cid:durableId="1327131620">
    <w:abstractNumId w:val="28"/>
  </w:num>
  <w:num w:numId="32" w16cid:durableId="406922160">
    <w:abstractNumId w:val="23"/>
  </w:num>
  <w:num w:numId="33" w16cid:durableId="1060058227">
    <w:abstractNumId w:val="19"/>
  </w:num>
  <w:num w:numId="34" w16cid:durableId="39425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B3"/>
    <w:rsid w:val="00035AE4"/>
    <w:rsid w:val="000428D1"/>
    <w:rsid w:val="00042D11"/>
    <w:rsid w:val="00070809"/>
    <w:rsid w:val="00071D93"/>
    <w:rsid w:val="00076CFC"/>
    <w:rsid w:val="00082563"/>
    <w:rsid w:val="000A7719"/>
    <w:rsid w:val="000B3476"/>
    <w:rsid w:val="000D0B1A"/>
    <w:rsid w:val="000D1A7F"/>
    <w:rsid w:val="000D25ED"/>
    <w:rsid w:val="00127C08"/>
    <w:rsid w:val="001955DD"/>
    <w:rsid w:val="001B1872"/>
    <w:rsid w:val="001C790E"/>
    <w:rsid w:val="001E5086"/>
    <w:rsid w:val="00217A4D"/>
    <w:rsid w:val="00240C06"/>
    <w:rsid w:val="002658CD"/>
    <w:rsid w:val="00275A7D"/>
    <w:rsid w:val="002866B6"/>
    <w:rsid w:val="00291AEA"/>
    <w:rsid w:val="002A384D"/>
    <w:rsid w:val="002E22DD"/>
    <w:rsid w:val="002E6CAF"/>
    <w:rsid w:val="002E7899"/>
    <w:rsid w:val="00332263"/>
    <w:rsid w:val="00344C88"/>
    <w:rsid w:val="003A100D"/>
    <w:rsid w:val="003B1C34"/>
    <w:rsid w:val="003C030F"/>
    <w:rsid w:val="003C19B5"/>
    <w:rsid w:val="003C5F2B"/>
    <w:rsid w:val="003E4546"/>
    <w:rsid w:val="003F5D61"/>
    <w:rsid w:val="00406308"/>
    <w:rsid w:val="00425A50"/>
    <w:rsid w:val="00436568"/>
    <w:rsid w:val="00442FF5"/>
    <w:rsid w:val="00443A30"/>
    <w:rsid w:val="00473566"/>
    <w:rsid w:val="00484789"/>
    <w:rsid w:val="004873B4"/>
    <w:rsid w:val="004A0C29"/>
    <w:rsid w:val="004E05B8"/>
    <w:rsid w:val="004E0E54"/>
    <w:rsid w:val="00500453"/>
    <w:rsid w:val="00503367"/>
    <w:rsid w:val="0058643D"/>
    <w:rsid w:val="005C1539"/>
    <w:rsid w:val="005C1A22"/>
    <w:rsid w:val="005C4F15"/>
    <w:rsid w:val="005C7A48"/>
    <w:rsid w:val="005D1CBB"/>
    <w:rsid w:val="005E06D3"/>
    <w:rsid w:val="00602F88"/>
    <w:rsid w:val="0066400B"/>
    <w:rsid w:val="00680AC3"/>
    <w:rsid w:val="00697469"/>
    <w:rsid w:val="006B600F"/>
    <w:rsid w:val="006C1776"/>
    <w:rsid w:val="006C3432"/>
    <w:rsid w:val="006C3D8F"/>
    <w:rsid w:val="00706A1A"/>
    <w:rsid w:val="007662E1"/>
    <w:rsid w:val="0077465E"/>
    <w:rsid w:val="007907DC"/>
    <w:rsid w:val="007B00A7"/>
    <w:rsid w:val="007F0300"/>
    <w:rsid w:val="0081261F"/>
    <w:rsid w:val="008361A2"/>
    <w:rsid w:val="008457B2"/>
    <w:rsid w:val="008526C2"/>
    <w:rsid w:val="00853BBE"/>
    <w:rsid w:val="00910750"/>
    <w:rsid w:val="00920590"/>
    <w:rsid w:val="0093322A"/>
    <w:rsid w:val="00951645"/>
    <w:rsid w:val="009673BB"/>
    <w:rsid w:val="00983FAE"/>
    <w:rsid w:val="00993414"/>
    <w:rsid w:val="009A7AEE"/>
    <w:rsid w:val="009C0B06"/>
    <w:rsid w:val="009C56B3"/>
    <w:rsid w:val="00A27141"/>
    <w:rsid w:val="00A716A6"/>
    <w:rsid w:val="00AA5C9B"/>
    <w:rsid w:val="00AE3227"/>
    <w:rsid w:val="00AE49B4"/>
    <w:rsid w:val="00B24D0B"/>
    <w:rsid w:val="00B53B8B"/>
    <w:rsid w:val="00B94E38"/>
    <w:rsid w:val="00BB3642"/>
    <w:rsid w:val="00BE73D7"/>
    <w:rsid w:val="00BE74C9"/>
    <w:rsid w:val="00C24A3B"/>
    <w:rsid w:val="00C5287B"/>
    <w:rsid w:val="00C52AB4"/>
    <w:rsid w:val="00C6052D"/>
    <w:rsid w:val="00C63CC0"/>
    <w:rsid w:val="00CD5D89"/>
    <w:rsid w:val="00D10528"/>
    <w:rsid w:val="00D11D45"/>
    <w:rsid w:val="00D73437"/>
    <w:rsid w:val="00D8081A"/>
    <w:rsid w:val="00DD4582"/>
    <w:rsid w:val="00DF4FDF"/>
    <w:rsid w:val="00E25914"/>
    <w:rsid w:val="00E73A71"/>
    <w:rsid w:val="00E978BA"/>
    <w:rsid w:val="00EB768D"/>
    <w:rsid w:val="00EF1719"/>
    <w:rsid w:val="00EF7F71"/>
    <w:rsid w:val="00F057F2"/>
    <w:rsid w:val="00F16937"/>
    <w:rsid w:val="00F367C3"/>
    <w:rsid w:val="00F40176"/>
    <w:rsid w:val="00F404EB"/>
    <w:rsid w:val="00F40FCB"/>
    <w:rsid w:val="00F4463E"/>
    <w:rsid w:val="00F468BB"/>
    <w:rsid w:val="00FA5493"/>
    <w:rsid w:val="00FA6DB3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B178"/>
  <w15:docId w15:val="{F97487EB-ABC1-46FE-94C9-C67C12C4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67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DB3"/>
    <w:rPr>
      <w:sz w:val="22"/>
      <w:szCs w:val="22"/>
    </w:rPr>
  </w:style>
  <w:style w:type="table" w:styleId="Reetkatablice">
    <w:name w:val="Table Grid"/>
    <w:basedOn w:val="Obinatablica"/>
    <w:uiPriority w:val="59"/>
    <w:rsid w:val="00F40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aglaeno">
    <w:name w:val="Strong"/>
    <w:basedOn w:val="Zadanifontodlomka"/>
    <w:uiPriority w:val="22"/>
    <w:qFormat/>
    <w:rsid w:val="002658CD"/>
    <w:rPr>
      <w:b/>
      <w:bCs/>
    </w:rPr>
  </w:style>
  <w:style w:type="paragraph" w:styleId="Odlomakpopisa">
    <w:name w:val="List Paragraph"/>
    <w:basedOn w:val="Normal"/>
    <w:uiPriority w:val="34"/>
    <w:qFormat/>
    <w:rsid w:val="00C5287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A7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7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1FDC-12C6-4CF6-BA38-941F6978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bozenkom</dc:creator>
  <cp:lastModifiedBy>Ivana Markov</cp:lastModifiedBy>
  <cp:revision>14</cp:revision>
  <cp:lastPrinted>2024-12-13T11:30:00Z</cp:lastPrinted>
  <dcterms:created xsi:type="dcterms:W3CDTF">2024-12-04T12:18:00Z</dcterms:created>
  <dcterms:modified xsi:type="dcterms:W3CDTF">2024-12-18T13:16:00Z</dcterms:modified>
</cp:coreProperties>
</file>